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705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widowControl w:val="0"/>
            <w:autoSpaceDE/>
            <w:autoSpaceDN/>
            <w:spacing w:beforeAutospacing="0" w:afterAutospacing="0" w:line="240" w:lineRule="auto"/>
            <w:ind w:left="0" w:leftChars="0" w:right="0" w:rightChars="0" w:firstLine="0" w:firstLineChars="0"/>
            <w:jc w:val="center"/>
            <w:outlineLvl w:val="9"/>
          </w:pPr>
          <w:r>
            <w:rPr>
              <w:rFonts w:hint="eastAsia" w:ascii="Times New Roman" w:hAnsi="方正小标宋简体" w:eastAsia="方正小标宋简体" w:cs="方正小标宋简体"/>
              <w:b w:val="0"/>
              <w:i w:val="0"/>
              <w:spacing w:val="0"/>
              <w:w w:val="100"/>
              <w:sz w:val="44"/>
              <w:u w:val="none"/>
            </w:rPr>
            <w:t>目录</w:t>
          </w:r>
        </w:p>
        <w:p>
          <w:pPr>
            <w:pStyle w:val="9"/>
            <w:tabs>
              <w:tab w:val="right" w:leader="dot" w:pos="8845"/>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_Toc6691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lang w:val="en-US" w:eastAsia="zh-CN"/>
            </w:rPr>
            <w:t>中牟县中医院网络安全服务采购公告</w:t>
          </w:r>
          <w:r>
            <w:tab/>
          </w:r>
          <w:r>
            <w:fldChar w:fldCharType="begin"/>
          </w:r>
          <w:r>
            <w:instrText xml:space="preserve"> PAGEREF _Toc6691 \h </w:instrText>
          </w:r>
          <w:r>
            <w:fldChar w:fldCharType="separate"/>
          </w:r>
          <w:r>
            <w:t>3</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_Toc27643 </w:instrText>
          </w:r>
          <w:r>
            <w:rPr>
              <w:rFonts w:hint="eastAsia" w:asciiTheme="majorEastAsia" w:hAnsiTheme="majorEastAsia" w:eastAsiaTheme="majorEastAsia" w:cstheme="majorEastAsia"/>
              <w:szCs w:val="28"/>
            </w:rPr>
            <w:fldChar w:fldCharType="separate"/>
          </w:r>
          <w:r>
            <w:rPr>
              <w:rFonts w:hint="eastAsia" w:ascii="Times New Roman" w:hAnsi="黑体" w:eastAsia="黑体" w:cs="黑体"/>
              <w:i w:val="0"/>
              <w:snapToGrid/>
              <w:spacing w:val="0"/>
              <w:w w:val="100"/>
              <w:szCs w:val="44"/>
              <w:lang w:val="en-US" w:eastAsia="zh-CN"/>
            </w:rPr>
            <w:t>投标人须知</w:t>
          </w:r>
          <w:r>
            <w:tab/>
          </w:r>
          <w:r>
            <w:fldChar w:fldCharType="begin"/>
          </w:r>
          <w:r>
            <w:instrText xml:space="preserve"> PAGEREF _Toc27643 \h </w:instrText>
          </w:r>
          <w:r>
            <w:fldChar w:fldCharType="separate"/>
          </w:r>
          <w:r>
            <w:t>7</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_Toc5210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lang w:val="en-US" w:eastAsia="zh-CN"/>
            </w:rPr>
            <w:t>评标办法附表</w:t>
          </w:r>
          <w:r>
            <w:tab/>
          </w:r>
          <w:r>
            <w:fldChar w:fldCharType="begin"/>
          </w:r>
          <w:r>
            <w:instrText xml:space="preserve"> PAGEREF _Toc5210 \h </w:instrText>
          </w:r>
          <w:r>
            <w:fldChar w:fldCharType="separate"/>
          </w:r>
          <w:r>
            <w:t>8</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_Toc18936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bCs w:val="0"/>
              <w:i w:val="0"/>
              <w:snapToGrid/>
              <w:spacing w:val="0"/>
              <w:w w:val="100"/>
              <w:szCs w:val="24"/>
              <w:lang w:val="en-US" w:eastAsia="zh-CN"/>
            </w:rPr>
            <w:t>网络安全服务技术标准和要求</w:t>
          </w:r>
          <w:r>
            <w:tab/>
          </w:r>
          <w:r>
            <w:fldChar w:fldCharType="begin"/>
          </w:r>
          <w:r>
            <w:instrText xml:space="preserve"> PAGEREF _Toc18936 \h </w:instrText>
          </w:r>
          <w:r>
            <w:fldChar w:fldCharType="separate"/>
          </w:r>
          <w:r>
            <w:t>11</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_Toc17312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rPr>
            <w:t>投标文件</w:t>
          </w:r>
          <w:r>
            <w:rPr>
              <w:rFonts w:hint="eastAsia" w:ascii="Times New Roman" w:hAnsi="方正小标宋简体" w:eastAsia="方正小标宋简体" w:cs="方正小标宋简体"/>
              <w:i w:val="0"/>
              <w:snapToGrid/>
              <w:spacing w:val="0"/>
              <w:w w:val="100"/>
              <w:szCs w:val="24"/>
              <w:lang w:val="en-US" w:eastAsia="zh-CN"/>
            </w:rPr>
            <w:t>目录</w:t>
          </w:r>
          <w:r>
            <w:tab/>
          </w:r>
          <w:r>
            <w:fldChar w:fldCharType="begin"/>
          </w:r>
          <w:r>
            <w:instrText xml:space="preserve"> PAGEREF _Toc17312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_Toc21264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 附录</w:t>
          </w:r>
          <w:r>
            <w:tab/>
          </w:r>
          <w:r>
            <w:fldChar w:fldCharType="begin"/>
          </w:r>
          <w:r>
            <w:instrText xml:space="preserve"> PAGEREF _Toc21264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_Toc2997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二、 附有法定代表人身份证明书的授权委托书</w:t>
          </w:r>
          <w:r>
            <w:tab/>
          </w:r>
          <w:r>
            <w:fldChar w:fldCharType="begin"/>
          </w:r>
          <w:r>
            <w:instrText xml:space="preserve"> PAGEREF _Toc2997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_Toc22617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三、 反商业贿赂承诺书</w:t>
          </w:r>
          <w:r>
            <w:tab/>
          </w:r>
          <w:r>
            <w:fldChar w:fldCharType="begin"/>
          </w:r>
          <w:r>
            <w:instrText xml:space="preserve"> PAGEREF _Toc22617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_Toc19555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四、 技术部分</w:t>
          </w:r>
          <w:r>
            <w:tab/>
          </w:r>
          <w:r>
            <w:fldChar w:fldCharType="begin"/>
          </w:r>
          <w:r>
            <w:instrText xml:space="preserve"> PAGEREF _Toc19555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_Toc26966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五、 资格审查资料</w:t>
          </w:r>
          <w:r>
            <w:tab/>
          </w:r>
          <w:r>
            <w:fldChar w:fldCharType="begin"/>
          </w:r>
          <w:r>
            <w:instrText xml:space="preserve"> PAGEREF _Toc26966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_Toc21114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六、 商务部分</w:t>
          </w:r>
          <w:r>
            <w:tab/>
          </w:r>
          <w:r>
            <w:fldChar w:fldCharType="begin"/>
          </w:r>
          <w:r>
            <w:instrText xml:space="preserve"> PAGEREF _Toc21114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_Toc5510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七、 供应商认为有必要提供的其他材料</w:t>
          </w:r>
          <w:r>
            <w:tab/>
          </w:r>
          <w:r>
            <w:fldChar w:fldCharType="begin"/>
          </w:r>
          <w:r>
            <w:instrText xml:space="preserve"> PAGEREF _Toc5510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_Toc21927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一、附录（参考模板）</w:t>
          </w:r>
          <w:r>
            <w:tab/>
          </w:r>
          <w:r>
            <w:fldChar w:fldCharType="begin"/>
          </w:r>
          <w:r>
            <w:instrText xml:space="preserve"> PAGEREF _Toc21927 \h </w:instrText>
          </w:r>
          <w:r>
            <w:fldChar w:fldCharType="separate"/>
          </w:r>
          <w:r>
            <w:t>16</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_Toc11113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第一轮报价单</w:t>
          </w:r>
          <w:r>
            <w:tab/>
          </w:r>
          <w:r>
            <w:fldChar w:fldCharType="begin"/>
          </w:r>
          <w:r>
            <w:instrText xml:space="preserve"> PAGEREF _Toc11113 \h </w:instrText>
          </w:r>
          <w:r>
            <w:fldChar w:fldCharType="separate"/>
          </w:r>
          <w:r>
            <w:t>17</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_Toc4580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第二轮报价单</w:t>
          </w:r>
          <w:r>
            <w:tab/>
          </w:r>
          <w:r>
            <w:fldChar w:fldCharType="begin"/>
          </w:r>
          <w:r>
            <w:instrText xml:space="preserve"> PAGEREF _Toc4580 \h </w:instrText>
          </w:r>
          <w:r>
            <w:fldChar w:fldCharType="separate"/>
          </w:r>
          <w:r>
            <w:t>18</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_Toc26784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法定代表人身份证明书</w:t>
          </w:r>
          <w:r>
            <w:tab/>
          </w:r>
          <w:r>
            <w:fldChar w:fldCharType="begin"/>
          </w:r>
          <w:r>
            <w:instrText xml:space="preserve"> PAGEREF _Toc26784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_Toc16794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法定代表人授权委托书</w:t>
          </w:r>
          <w:r>
            <w:tab/>
          </w:r>
          <w:r>
            <w:fldChar w:fldCharType="begin"/>
          </w:r>
          <w:r>
            <w:instrText xml:space="preserve"> PAGEREF _Toc16794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pPr>
            <w:pStyle w:val="9"/>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_Toc27664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lang w:val="en-US" w:eastAsia="zh-CN"/>
            </w:rPr>
            <w:t>反商业贿赂</w:t>
          </w:r>
          <w:r>
            <w:rPr>
              <w:rFonts w:hint="eastAsia" w:ascii="方正小标宋_GBK" w:hAnsi="方正小标宋_GBK" w:eastAsia="方正小标宋_GBK" w:cs="方正小标宋_GBK"/>
            </w:rPr>
            <w:t>承诺书</w:t>
          </w:r>
          <w:r>
            <w:tab/>
          </w:r>
          <w:r>
            <w:fldChar w:fldCharType="begin"/>
          </w:r>
          <w:r>
            <w:instrText xml:space="preserve"> PAGEREF _Toc27664 \h </w:instrText>
          </w:r>
          <w:r>
            <w:fldChar w:fldCharType="separate"/>
          </w:r>
          <w:r>
            <w:t>21</w:t>
          </w:r>
          <w:r>
            <w:fldChar w:fldCharType="end"/>
          </w:r>
          <w:r>
            <w:rPr>
              <w:rFonts w:hint="eastAsia" w:asciiTheme="majorEastAsia" w:hAnsiTheme="majorEastAsia" w:eastAsiaTheme="majorEastAsia" w:cstheme="majorEastAsia"/>
              <w:szCs w:val="28"/>
            </w:rPr>
            <w:fldChar w:fldCharType="end"/>
          </w:r>
        </w:p>
        <w:p>
          <w:pPr>
            <w:sectPr>
              <w:headerReference r:id="rId5" w:type="first"/>
              <w:footerReference r:id="rId8" w:type="first"/>
              <w:headerReference r:id="rId3" w:type="default"/>
              <w:footerReference r:id="rId6" w:type="default"/>
              <w:headerReference r:id="rId4" w:type="even"/>
              <w:footerReference r:id="rId7" w:type="even"/>
              <w:pgSz w:w="11906" w:h="16838"/>
              <w:pgMar w:top="1984" w:right="1474" w:bottom="1871" w:left="1587" w:header="850" w:footer="1417" w:gutter="0"/>
              <w:cols w:space="425" w:num="1"/>
              <w:docGrid w:type="linesAndChars" w:linePitch="590" w:charSpace="-842"/>
            </w:sectPr>
          </w:pPr>
          <w:r>
            <w:rPr>
              <w:rFonts w:hint="eastAsia" w:asciiTheme="majorEastAsia" w:hAnsiTheme="majorEastAsia" w:eastAsiaTheme="majorEastAsia" w:cstheme="majorEastAsia"/>
              <w:szCs w:val="28"/>
            </w:rPr>
            <w:fldChar w:fldCharType="end"/>
          </w:r>
        </w:p>
      </w:sdtContent>
    </w:sdt>
    <w:p>
      <w:pPr>
        <w:rPr>
          <w:rFonts w:hint="eastAsia" w:ascii="Times New Roman" w:hAnsi="方正小标宋简体" w:eastAsia="方正小标宋简体" w:cs="方正小标宋简体"/>
          <w:b w:val="0"/>
          <w:i w:val="0"/>
          <w:snapToGrid/>
          <w:spacing w:val="0"/>
          <w:w w:val="100"/>
          <w:sz w:val="44"/>
          <w:u w:val="none"/>
          <w:lang w:val="en-US" w:eastAsia="zh-CN"/>
        </w:rPr>
      </w:pPr>
      <w:r>
        <w:rPr>
          <w:rFonts w:hint="eastAsia" w:ascii="Times New Roman" w:hAnsi="方正小标宋简体" w:eastAsia="方正小标宋简体" w:cs="方正小标宋简体"/>
          <w:b w:val="0"/>
          <w:i w:val="0"/>
          <w:snapToGrid/>
          <w:spacing w:val="0"/>
          <w:w w:val="100"/>
          <w:sz w:val="44"/>
          <w:u w:val="none"/>
          <w:lang w:val="en-US" w:eastAsia="zh-CN"/>
        </w:rPr>
        <w:br w:type="page"/>
      </w:r>
    </w:p>
    <w:p>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u w:val="none"/>
          <w:lang w:val="en-US" w:eastAsia="zh-CN"/>
        </w:rPr>
      </w:pPr>
      <w:bookmarkStart w:id="0" w:name="_Toc6691"/>
      <w:r>
        <w:rPr>
          <w:rFonts w:hint="eastAsia" w:ascii="Times New Roman" w:hAnsi="方正小标宋简体" w:eastAsia="方正小标宋简体" w:cs="方正小标宋简体"/>
          <w:b w:val="0"/>
          <w:i w:val="0"/>
          <w:snapToGrid/>
          <w:spacing w:val="0"/>
          <w:w w:val="100"/>
          <w:sz w:val="44"/>
          <w:u w:val="none"/>
          <w:lang w:val="en-US" w:eastAsia="zh-CN"/>
        </w:rPr>
        <w:t>中牟县中医院网络安全服务采购公告</w:t>
      </w:r>
      <w:bookmarkEnd w:id="0"/>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一、项目基本情况</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1、项目名称：中牟县中医院</w:t>
      </w:r>
      <w:r>
        <w:rPr>
          <w:rFonts w:hint="eastAsia" w:ascii="仿宋" w:hAnsi="仿宋" w:eastAsia="仿宋" w:cs="仿宋"/>
          <w:spacing w:val="0"/>
          <w:sz w:val="32"/>
          <w:szCs w:val="32"/>
          <w:lang w:val="en-US" w:eastAsia="zh-CN"/>
        </w:rPr>
        <w:t>网络安全服务</w:t>
      </w:r>
      <w:r>
        <w:rPr>
          <w:rFonts w:hint="eastAsia" w:ascii="仿宋" w:hAnsi="仿宋" w:eastAsia="仿宋" w:cs="仿宋"/>
          <w:spacing w:val="0"/>
          <w:sz w:val="32"/>
          <w:szCs w:val="32"/>
        </w:rPr>
        <w:t>采购项目</w:t>
      </w:r>
      <w:bookmarkStart w:id="35" w:name="_GoBack"/>
      <w:bookmarkEnd w:id="35"/>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2、预算金额：</w:t>
      </w:r>
      <w:r>
        <w:rPr>
          <w:rFonts w:hint="eastAsia" w:ascii="仿宋" w:hAnsi="仿宋" w:eastAsia="仿宋" w:cs="仿宋"/>
          <w:color w:val="auto"/>
          <w:spacing w:val="0"/>
          <w:sz w:val="32"/>
          <w:szCs w:val="32"/>
          <w:lang w:val="en-US" w:eastAsia="zh-CN"/>
        </w:rPr>
        <w:t>15</w:t>
      </w:r>
      <w:r>
        <w:rPr>
          <w:rFonts w:hint="eastAsia" w:ascii="仿宋" w:hAnsi="仿宋" w:eastAsia="仿宋" w:cs="仿宋"/>
          <w:color w:val="auto"/>
          <w:spacing w:val="0"/>
          <w:sz w:val="32"/>
          <w:szCs w:val="32"/>
        </w:rPr>
        <w:t>0000.00 元</w:t>
      </w:r>
      <w:r>
        <w:rPr>
          <w:rFonts w:hint="eastAsia" w:ascii="仿宋" w:hAnsi="仿宋" w:eastAsia="仿宋" w:cs="仿宋"/>
          <w:spacing w:val="0"/>
          <w:sz w:val="32"/>
          <w:szCs w:val="32"/>
        </w:rPr>
        <w:t>，最高限价：</w:t>
      </w:r>
      <w:r>
        <w:rPr>
          <w:rFonts w:hint="eastAsia" w:ascii="仿宋" w:hAnsi="仿宋" w:eastAsia="仿宋" w:cs="仿宋"/>
          <w:spacing w:val="0"/>
          <w:sz w:val="32"/>
          <w:szCs w:val="32"/>
          <w:lang w:val="en-US" w:eastAsia="zh-CN"/>
        </w:rPr>
        <w:t>15</w:t>
      </w:r>
      <w:r>
        <w:rPr>
          <w:rFonts w:hint="eastAsia" w:ascii="仿宋" w:hAnsi="仿宋" w:eastAsia="仿宋" w:cs="仿宋"/>
          <w:spacing w:val="0"/>
          <w:sz w:val="32"/>
          <w:szCs w:val="32"/>
        </w:rPr>
        <w:t>0000.00 元</w:t>
      </w:r>
    </w:p>
    <w:tbl>
      <w:tblPr>
        <w:tblStyle w:val="11"/>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11"/>
        <w:gridCol w:w="3161"/>
        <w:gridCol w:w="1632"/>
        <w:gridCol w:w="1807"/>
        <w:gridCol w:w="1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5" w:hRule="atLeast"/>
        </w:trPr>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包号</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包名称</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包预算（元）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包最高限价（元）</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keepNext w:val="0"/>
              <w:keepLines w:val="0"/>
              <w:widowControl/>
              <w:suppressLineNumbers w:val="0"/>
              <w:spacing w:line="240" w:lineRule="auto"/>
              <w:jc w:val="left"/>
              <w:rPr>
                <w:rFonts w:hint="eastAsia" w:ascii="仿宋" w:hAnsi="仿宋" w:eastAsia="仿宋" w:cs="仿宋"/>
                <w:sz w:val="32"/>
                <w:szCs w:val="32"/>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72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center"/>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328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default" w:ascii="仿宋" w:hAnsi="仿宋" w:eastAsia="仿宋" w:cs="仿宋"/>
                <w:sz w:val="32"/>
                <w:szCs w:val="32"/>
                <w:lang w:val="en-US"/>
              </w:rPr>
            </w:pPr>
            <w:r>
              <w:rPr>
                <w:rFonts w:hint="eastAsia" w:ascii="仿宋" w:hAnsi="仿宋" w:eastAsia="仿宋" w:cs="仿宋"/>
                <w:sz w:val="32"/>
                <w:szCs w:val="32"/>
                <w:lang w:val="en-US" w:eastAsia="zh-CN"/>
              </w:rPr>
              <w:t>网络安全服务</w:t>
            </w:r>
            <w:r>
              <w:rPr>
                <w:rFonts w:hint="eastAsia" w:ascii="仿宋" w:hAnsi="仿宋" w:eastAsia="仿宋" w:cs="仿宋"/>
                <w:sz w:val="32"/>
                <w:szCs w:val="32"/>
              </w:rPr>
              <w:t>*</w:t>
            </w:r>
            <w:r>
              <w:rPr>
                <w:rFonts w:hint="eastAsia" w:ascii="仿宋" w:hAnsi="仿宋" w:eastAsia="仿宋" w:cs="仿宋"/>
                <w:sz w:val="32"/>
                <w:szCs w:val="32"/>
                <w:lang w:val="en-US" w:eastAsia="zh-CN"/>
              </w:rPr>
              <w:t>1项</w:t>
            </w:r>
          </w:p>
        </w:tc>
        <w:tc>
          <w:tcPr>
            <w:tcW w:w="142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0000.00</w:t>
            </w:r>
          </w:p>
        </w:tc>
        <w:tc>
          <w:tcPr>
            <w:tcW w:w="1815"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pPr>
              <w:keepNext w:val="0"/>
              <w:keepLines w:val="0"/>
              <w:widowControl/>
              <w:suppressLineNumbers w:val="0"/>
              <w:spacing w:line="240" w:lineRule="auto"/>
              <w:jc w:val="left"/>
              <w:rPr>
                <w:rFonts w:hint="eastAsia" w:ascii="仿宋" w:hAnsi="仿宋" w:eastAsia="仿宋" w:cs="仿宋"/>
                <w:sz w:val="32"/>
                <w:szCs w:val="32"/>
              </w:rPr>
            </w:pPr>
          </w:p>
        </w:tc>
      </w:tr>
    </w:tbl>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3、采购需求</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3.1 采购范围：</w:t>
      </w:r>
      <w:r>
        <w:rPr>
          <w:rFonts w:hint="eastAsia" w:ascii="仿宋" w:hAnsi="仿宋" w:eastAsia="仿宋" w:cs="仿宋"/>
          <w:spacing w:val="0"/>
          <w:sz w:val="32"/>
          <w:szCs w:val="32"/>
          <w:lang w:val="en-US" w:eastAsia="zh-CN"/>
        </w:rPr>
        <w:t>网络安全等级保护测评及相关服务</w:t>
      </w:r>
      <w:r>
        <w:rPr>
          <w:rFonts w:hint="eastAsia" w:ascii="仿宋" w:hAnsi="仿宋" w:eastAsia="仿宋" w:cs="仿宋"/>
          <w:spacing w:val="0"/>
          <w:sz w:val="32"/>
          <w:szCs w:val="32"/>
        </w:rPr>
        <w:t>；</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3.2 交货地点：中牟县中医院</w:t>
      </w:r>
    </w:p>
    <w:p>
      <w:pPr>
        <w:pStyle w:val="10"/>
        <w:keepNext w:val="0"/>
        <w:keepLines w:val="0"/>
        <w:widowControl/>
        <w:suppressLineNumbers w:val="0"/>
        <w:spacing w:before="75" w:beforeAutospacing="0" w:after="75" w:afterAutospacing="0" w:line="240" w:lineRule="auto"/>
        <w:ind w:left="644" w:leftChars="200" w:right="0" w:hanging="12" w:hangingChars="4"/>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3.3 质量要求：</w:t>
      </w:r>
      <w:r>
        <w:rPr>
          <w:rFonts w:hint="eastAsia" w:ascii="仿宋" w:hAnsi="仿宋" w:eastAsia="仿宋" w:cs="仿宋"/>
          <w:sz w:val="32"/>
          <w:szCs w:val="32"/>
          <w:lang w:val="en-US"/>
        </w:rPr>
        <w:t>合格，符合采购人要求及行业相关标准。</w:t>
      </w:r>
      <w:r>
        <w:rPr>
          <w:rFonts w:hint="eastAsia" w:ascii="仿宋" w:hAnsi="仿宋" w:eastAsia="仿宋" w:cs="仿宋"/>
          <w:spacing w:val="0"/>
          <w:sz w:val="32"/>
          <w:szCs w:val="32"/>
        </w:rPr>
        <w:t>3.4 </w:t>
      </w:r>
      <w:r>
        <w:rPr>
          <w:rFonts w:hint="eastAsia" w:ascii="仿宋" w:hAnsi="仿宋" w:eastAsia="仿宋" w:cs="仿宋"/>
          <w:spacing w:val="0"/>
          <w:sz w:val="32"/>
          <w:szCs w:val="32"/>
          <w:lang w:val="en-US" w:eastAsia="zh-CN"/>
        </w:rPr>
        <w:t>交货</w:t>
      </w:r>
      <w:r>
        <w:rPr>
          <w:rFonts w:hint="eastAsia" w:ascii="仿宋" w:hAnsi="仿宋" w:eastAsia="仿宋" w:cs="仿宋"/>
          <w:spacing w:val="0"/>
          <w:sz w:val="32"/>
          <w:szCs w:val="32"/>
        </w:rPr>
        <w:t>期：</w:t>
      </w:r>
      <w:r>
        <w:rPr>
          <w:rFonts w:hint="eastAsia" w:ascii="仿宋" w:hAnsi="仿宋" w:eastAsia="仿宋" w:cs="仿宋"/>
          <w:sz w:val="32"/>
          <w:szCs w:val="32"/>
          <w:lang w:val="en-US"/>
        </w:rPr>
        <w:t>合同签订后，乙方收到甲方通知之日起45个工作日内（不含整改时间）完成</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4、合同履行期限：</w:t>
      </w:r>
      <w:r>
        <w:rPr>
          <w:rFonts w:hint="eastAsia" w:ascii="仿宋" w:hAnsi="仿宋" w:eastAsia="仿宋" w:cs="仿宋"/>
          <w:sz w:val="32"/>
          <w:szCs w:val="32"/>
          <w:lang w:val="en-US"/>
        </w:rPr>
        <w:t>同交货期</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5、本项目是否接受联合体投标：否</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6、是否接受进口产品：否</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7、是否专门面向中小企业：否</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二、报名所需资料（1-2）其余在标书体现：</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1.营业执照、法人身份证复印件；</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2.法人授权委托书 及 被委托人身份证复印件（法人代表报名忽略此项）；</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3.投标人须出具近三个月社保缴费证明或纳税证明；</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4.符合资格条件且无纳税、社保等方面失信记录以及履行合同所必须能力声明函；</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5.信誉要求：</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（1）根据《关于在政府采购活动中查询及使用信用记录有关问题的通知》(财库[2016]125 号)的规定，对列入失信被执行人、重大税收违法失信主体、政府采购严重违法失信行为记录名单的投标供应商，拒绝参与本项目政府采购活动。查询时间：本项目资格审查结束之前。</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（2）单位负责人为同一人或者存在直接控股、管理关系的不同供应商，不得参加同一合同项下的采购活动。（提供承诺函，格式自拟并加盖公章。）</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eastAsia="zh-CN"/>
        </w:rPr>
      </w:pPr>
      <w:r>
        <w:rPr>
          <w:rFonts w:hint="eastAsia" w:ascii="仿宋" w:hAnsi="仿宋" w:eastAsia="仿宋" w:cs="仿宋"/>
          <w:spacing w:val="0"/>
          <w:sz w:val="32"/>
          <w:szCs w:val="32"/>
        </w:rPr>
        <w:t>6.</w:t>
      </w:r>
      <w:r>
        <w:rPr>
          <w:rFonts w:hint="eastAsia" w:ascii="仿宋" w:hAnsi="仿宋" w:eastAsia="仿宋" w:cs="仿宋"/>
          <w:sz w:val="32"/>
          <w:szCs w:val="32"/>
          <w:lang w:val="en-US"/>
        </w:rPr>
        <w:t>供应商须具有公安部第三研究所颁发的 “网络安全服务认证证书等级保护测评服务认证”</w:t>
      </w:r>
      <w:r>
        <w:rPr>
          <w:rFonts w:hint="eastAsia" w:ascii="仿宋" w:hAnsi="仿宋" w:eastAsia="仿宋" w:cs="仿宋"/>
          <w:sz w:val="32"/>
          <w:szCs w:val="32"/>
          <w:lang w:val="en-US" w:eastAsia="zh-CN"/>
        </w:rPr>
        <w:t>。</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7.投标人认为需说明的其他相关资料（投标文件要求至少一正两副）</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三、报名</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color w:val="auto"/>
          <w:sz w:val="32"/>
          <w:szCs w:val="32"/>
        </w:rPr>
      </w:pPr>
      <w:r>
        <w:rPr>
          <w:rFonts w:hint="eastAsia" w:ascii="仿宋" w:hAnsi="仿宋" w:eastAsia="仿宋" w:cs="仿宋"/>
          <w:spacing w:val="0"/>
          <w:sz w:val="32"/>
          <w:szCs w:val="32"/>
        </w:rPr>
        <w:t>1.时间：</w:t>
      </w:r>
      <w:r>
        <w:rPr>
          <w:rFonts w:hint="eastAsia" w:ascii="仿宋" w:hAnsi="仿宋" w:eastAsia="仿宋" w:cs="仿宋"/>
          <w:color w:val="auto"/>
          <w:spacing w:val="0"/>
          <w:sz w:val="32"/>
          <w:szCs w:val="32"/>
        </w:rPr>
        <w:t>2026 年 </w:t>
      </w:r>
      <w:r>
        <w:rPr>
          <w:rFonts w:hint="eastAsia" w:ascii="仿宋" w:hAnsi="仿宋" w:eastAsia="仿宋" w:cs="仿宋"/>
          <w:color w:val="auto"/>
          <w:spacing w:val="0"/>
          <w:sz w:val="32"/>
          <w:szCs w:val="32"/>
          <w:lang w:val="en-US" w:eastAsia="zh-CN"/>
        </w:rPr>
        <w:t>10</w:t>
      </w:r>
      <w:r>
        <w:rPr>
          <w:rFonts w:hint="eastAsia" w:ascii="仿宋" w:hAnsi="仿宋" w:eastAsia="仿宋" w:cs="仿宋"/>
          <w:color w:val="auto"/>
          <w:spacing w:val="0"/>
          <w:sz w:val="32"/>
          <w:szCs w:val="32"/>
        </w:rPr>
        <w:t>月 </w:t>
      </w:r>
      <w:r>
        <w:rPr>
          <w:rFonts w:hint="eastAsia" w:ascii="仿宋" w:hAnsi="仿宋" w:eastAsia="仿宋" w:cs="仿宋"/>
          <w:color w:val="auto"/>
          <w:spacing w:val="0"/>
          <w:sz w:val="32"/>
          <w:szCs w:val="32"/>
          <w:lang w:val="en-US" w:eastAsia="zh-CN"/>
        </w:rPr>
        <w:t>22</w:t>
      </w:r>
      <w:r>
        <w:rPr>
          <w:rFonts w:hint="eastAsia" w:ascii="仿宋" w:hAnsi="仿宋" w:eastAsia="仿宋" w:cs="仿宋"/>
          <w:color w:val="auto"/>
          <w:spacing w:val="0"/>
          <w:sz w:val="32"/>
          <w:szCs w:val="32"/>
        </w:rPr>
        <w:t>日至 2026 年 </w:t>
      </w:r>
      <w:r>
        <w:rPr>
          <w:rFonts w:hint="eastAsia" w:ascii="仿宋" w:hAnsi="仿宋" w:eastAsia="仿宋" w:cs="仿宋"/>
          <w:color w:val="auto"/>
          <w:spacing w:val="0"/>
          <w:sz w:val="32"/>
          <w:szCs w:val="32"/>
          <w:lang w:val="en-US" w:eastAsia="zh-CN"/>
        </w:rPr>
        <w:t>10</w:t>
      </w:r>
      <w:r>
        <w:rPr>
          <w:rFonts w:hint="eastAsia" w:ascii="仿宋" w:hAnsi="仿宋" w:eastAsia="仿宋" w:cs="仿宋"/>
          <w:color w:val="auto"/>
          <w:spacing w:val="0"/>
          <w:sz w:val="32"/>
          <w:szCs w:val="32"/>
        </w:rPr>
        <w:t>月</w:t>
      </w:r>
      <w:r>
        <w:rPr>
          <w:rFonts w:hint="eastAsia" w:ascii="仿宋" w:hAnsi="仿宋" w:eastAsia="仿宋" w:cs="仿宋"/>
          <w:color w:val="auto"/>
          <w:spacing w:val="0"/>
          <w:sz w:val="32"/>
          <w:szCs w:val="32"/>
          <w:lang w:val="en-US" w:eastAsia="zh-CN"/>
        </w:rPr>
        <w:t>28</w:t>
      </w:r>
      <w:r>
        <w:rPr>
          <w:rFonts w:hint="eastAsia" w:ascii="仿宋" w:hAnsi="仿宋" w:eastAsia="仿宋" w:cs="仿宋"/>
          <w:color w:val="auto"/>
          <w:spacing w:val="0"/>
          <w:sz w:val="32"/>
          <w:szCs w:val="32"/>
        </w:rPr>
        <w:t>日，每天上午08:00 至12:00，下午2:</w:t>
      </w:r>
      <w:r>
        <w:rPr>
          <w:rFonts w:hint="eastAsia" w:ascii="仿宋" w:hAnsi="仿宋" w:eastAsia="仿宋" w:cs="仿宋"/>
          <w:color w:val="auto"/>
          <w:spacing w:val="0"/>
          <w:sz w:val="32"/>
          <w:szCs w:val="32"/>
          <w:lang w:val="en-US" w:eastAsia="zh-CN"/>
        </w:rPr>
        <w:t>00</w:t>
      </w:r>
      <w:r>
        <w:rPr>
          <w:rFonts w:hint="eastAsia" w:ascii="仿宋" w:hAnsi="仿宋" w:eastAsia="仿宋" w:cs="仿宋"/>
          <w:color w:val="auto"/>
          <w:spacing w:val="0"/>
          <w:sz w:val="32"/>
          <w:szCs w:val="32"/>
        </w:rPr>
        <w:t> 至 5:</w:t>
      </w:r>
      <w:r>
        <w:rPr>
          <w:rFonts w:hint="eastAsia" w:ascii="仿宋" w:hAnsi="仿宋" w:eastAsia="仿宋" w:cs="仿宋"/>
          <w:color w:val="auto"/>
          <w:spacing w:val="0"/>
          <w:sz w:val="32"/>
          <w:szCs w:val="32"/>
          <w:lang w:val="en-US" w:eastAsia="zh-CN"/>
        </w:rPr>
        <w:t>00</w:t>
      </w:r>
      <w:r>
        <w:rPr>
          <w:rFonts w:hint="eastAsia" w:ascii="仿宋" w:hAnsi="仿宋" w:eastAsia="仿宋" w:cs="仿宋"/>
          <w:color w:val="auto"/>
          <w:spacing w:val="0"/>
          <w:sz w:val="32"/>
          <w:szCs w:val="32"/>
        </w:rPr>
        <w:t>（法定节假日除外。）</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pacing w:val="0"/>
          <w:sz w:val="32"/>
          <w:szCs w:val="32"/>
        </w:rPr>
      </w:pPr>
      <w:r>
        <w:rPr>
          <w:rFonts w:hint="eastAsia" w:ascii="仿宋" w:hAnsi="仿宋" w:eastAsia="仿宋" w:cs="仿宋"/>
          <w:spacing w:val="0"/>
          <w:sz w:val="32"/>
          <w:szCs w:val="32"/>
        </w:rPr>
        <w:t>2.地点：</w:t>
      </w:r>
      <w:r>
        <w:rPr>
          <w:rFonts w:hint="eastAsia" w:ascii="仿宋" w:hAnsi="仿宋" w:eastAsia="仿宋" w:cs="仿宋"/>
          <w:spacing w:val="0"/>
          <w:sz w:val="32"/>
          <w:szCs w:val="32"/>
          <w:lang w:val="en-US" w:eastAsia="zh-CN"/>
        </w:rPr>
        <w:t>另行通知。</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四、开标时间及地点</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1.时间：</w:t>
      </w:r>
      <w:r>
        <w:rPr>
          <w:rFonts w:hint="eastAsia" w:ascii="仿宋" w:hAnsi="仿宋" w:eastAsia="仿宋" w:cs="仿宋"/>
          <w:spacing w:val="0"/>
          <w:sz w:val="32"/>
          <w:szCs w:val="32"/>
          <w:lang w:val="en-US" w:eastAsia="zh-CN"/>
        </w:rPr>
        <w:t>另行通知。</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2.地点 ：</w:t>
      </w:r>
      <w:r>
        <w:rPr>
          <w:rFonts w:hint="eastAsia" w:ascii="仿宋" w:hAnsi="仿宋" w:eastAsia="仿宋" w:cs="仿宋"/>
          <w:spacing w:val="0"/>
          <w:sz w:val="32"/>
          <w:szCs w:val="32"/>
          <w:lang w:val="en-US" w:eastAsia="zh-CN"/>
        </w:rPr>
        <w:t>另行通知。</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五、本次招标公告在《中牟县中医院网站》上发布。</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六、凡对本次招标提出询问，请按照以下方式联系</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采购人信息</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名称：中牟县中医院</w:t>
      </w:r>
    </w:p>
    <w:p>
      <w:pPr>
        <w:pStyle w:val="10"/>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地址：郑州市中牟县泰安街6号</w:t>
      </w:r>
    </w:p>
    <w:p>
      <w:pPr>
        <w:pStyle w:val="10"/>
        <w:keepNext w:val="0"/>
        <w:keepLines w:val="0"/>
        <w:widowControl/>
        <w:suppressLineNumbers w:val="0"/>
        <w:spacing w:before="75" w:beforeAutospacing="0" w:after="75" w:afterAutospacing="0" w:line="240" w:lineRule="auto"/>
        <w:ind w:left="0" w:right="0" w:firstLine="630"/>
        <w:jc w:val="both"/>
        <w:rPr>
          <w:rFonts w:hint="default" w:ascii="仿宋" w:hAnsi="仿宋" w:eastAsia="仿宋" w:cs="仿宋"/>
          <w:color w:val="FF0000"/>
          <w:sz w:val="32"/>
          <w:szCs w:val="32"/>
          <w:lang w:val="en-US" w:eastAsia="zh-CN"/>
        </w:rPr>
      </w:pPr>
      <w:r>
        <w:rPr>
          <w:rFonts w:hint="eastAsia" w:ascii="仿宋" w:hAnsi="仿宋" w:eastAsia="仿宋" w:cs="仿宋"/>
          <w:spacing w:val="0"/>
          <w:sz w:val="32"/>
          <w:szCs w:val="32"/>
        </w:rPr>
        <w:t>联系人：</w:t>
      </w:r>
      <w:r>
        <w:rPr>
          <w:rFonts w:hint="eastAsia" w:ascii="仿宋" w:hAnsi="仿宋" w:eastAsia="仿宋" w:cs="仿宋"/>
          <w:spacing w:val="0"/>
          <w:sz w:val="32"/>
          <w:szCs w:val="32"/>
          <w:lang w:val="en-US" w:eastAsia="zh-CN"/>
        </w:rPr>
        <w:t>王老师</w:t>
      </w:r>
    </w:p>
    <w:p>
      <w:pPr>
        <w:pStyle w:val="10"/>
        <w:keepNext w:val="0"/>
        <w:keepLines w:val="0"/>
        <w:widowControl/>
        <w:suppressLineNumbers w:val="0"/>
        <w:spacing w:before="75" w:beforeAutospacing="0" w:after="75" w:afterAutospacing="0"/>
        <w:ind w:left="0" w:right="0" w:firstLine="630"/>
        <w:jc w:val="both"/>
        <w:rPr>
          <w:rFonts w:hint="default" w:ascii="仿宋" w:hAnsi="仿宋" w:eastAsia="仿宋" w:cs="仿宋"/>
          <w:color w:val="auto"/>
          <w:sz w:val="32"/>
          <w:szCs w:val="32"/>
          <w:lang w:val="en-US" w:eastAsia="zh-CN"/>
        </w:rPr>
      </w:pPr>
      <w:r>
        <w:rPr>
          <w:rFonts w:hint="eastAsia" w:ascii="仿宋" w:hAnsi="仿宋" w:eastAsia="仿宋" w:cs="仿宋"/>
          <w:color w:val="auto"/>
          <w:spacing w:val="0"/>
          <w:sz w:val="32"/>
          <w:szCs w:val="32"/>
        </w:rPr>
        <w:t>联系方式：0371-621</w:t>
      </w:r>
      <w:r>
        <w:rPr>
          <w:rFonts w:hint="eastAsia" w:ascii="仿宋" w:hAnsi="仿宋" w:eastAsia="仿宋" w:cs="仿宋"/>
          <w:color w:val="auto"/>
          <w:spacing w:val="0"/>
          <w:sz w:val="32"/>
          <w:szCs w:val="32"/>
          <w:lang w:val="en-US" w:eastAsia="zh-CN"/>
        </w:rPr>
        <w:t>62180</w:t>
      </w:r>
    </w:p>
    <w:p>
      <w:pPr>
        <w:pStyle w:val="10"/>
        <w:keepNext w:val="0"/>
        <w:keepLines w:val="0"/>
        <w:widowControl/>
        <w:suppressLineNumbers w:val="0"/>
        <w:spacing w:before="75" w:beforeAutospacing="0" w:after="75" w:afterAutospacing="0"/>
        <w:ind w:left="0" w:right="0"/>
        <w:rPr>
          <w:rFonts w:hint="eastAsia" w:ascii="仿宋" w:hAnsi="仿宋" w:eastAsia="仿宋" w:cs="仿宋"/>
          <w:sz w:val="32"/>
          <w:szCs w:val="32"/>
        </w:rPr>
      </w:pPr>
    </w:p>
    <w:p>
      <w:pPr>
        <w:rPr>
          <w:rFonts w:hint="eastAsia" w:ascii="仿宋" w:hAnsi="仿宋" w:eastAsia="仿宋" w:cs="仿宋"/>
          <w:b w:val="0"/>
          <w:i w:val="0"/>
          <w:snapToGrid/>
          <w:spacing w:val="0"/>
          <w:w w:val="100"/>
          <w:sz w:val="32"/>
          <w:szCs w:val="32"/>
          <w:u w:val="none"/>
          <w:lang w:val="en-US" w:eastAsia="zh-CN"/>
        </w:rPr>
      </w:pPr>
      <w:r>
        <w:rPr>
          <w:rFonts w:hint="eastAsia" w:ascii="仿宋" w:hAnsi="仿宋" w:eastAsia="仿宋" w:cs="仿宋"/>
          <w:b w:val="0"/>
          <w:i w:val="0"/>
          <w:snapToGrid/>
          <w:spacing w:val="0"/>
          <w:w w:val="100"/>
          <w:sz w:val="32"/>
          <w:szCs w:val="32"/>
          <w:u w:val="none"/>
          <w:lang w:val="en-US" w:eastAsia="zh-CN"/>
        </w:rPr>
        <w:br w:type="page"/>
      </w:r>
    </w:p>
    <w:p>
      <w:pPr>
        <w:widowControl/>
        <w:autoSpaceDE/>
        <w:autoSpaceDN/>
        <w:spacing w:beforeAutospacing="0" w:afterAutospacing="0" w:line="240" w:lineRule="auto"/>
        <w:ind w:left="0" w:leftChars="0" w:right="0" w:rightChars="0" w:firstLine="1032" w:firstLineChars="200"/>
        <w:jc w:val="both"/>
        <w:outlineLvl w:val="9"/>
        <w:rPr>
          <w:rFonts w:hint="eastAsia" w:ascii="黑体" w:hAnsi="宋体" w:eastAsia="黑体" w:cs="黑体"/>
          <w:i w:val="0"/>
          <w:iCs w:val="0"/>
          <w:color w:val="000000"/>
          <w:kern w:val="0"/>
          <w:sz w:val="52"/>
          <w:szCs w:val="52"/>
          <w:u w:val="none"/>
          <w:lang w:val="en-US" w:eastAsia="zh-CN" w:bidi="ar"/>
        </w:rPr>
      </w:pPr>
      <w:r>
        <w:rPr>
          <w:rFonts w:hint="eastAsia" w:ascii="黑体" w:hAnsi="宋体" w:eastAsia="黑体" w:cs="黑体"/>
          <w:i w:val="0"/>
          <w:iCs w:val="0"/>
          <w:color w:val="000000"/>
          <w:kern w:val="0"/>
          <w:sz w:val="52"/>
          <w:szCs w:val="52"/>
          <w:u w:val="none"/>
          <w:lang w:val="en-US" w:eastAsia="zh-CN" w:bidi="ar"/>
        </w:rPr>
        <w:t>中牟县中医院采购项目报名表</w:t>
      </w:r>
    </w:p>
    <w:tbl>
      <w:tblPr>
        <w:tblStyle w:val="11"/>
        <w:tblW w:w="92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5"/>
        <w:gridCol w:w="6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 xml:space="preserve">            日期：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公司名称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投标项目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 xml:space="preserve"> 报名需备资质</w:t>
            </w:r>
            <w:r>
              <w:rPr>
                <w:rFonts w:hint="eastAsia" w:ascii="宋体" w:hAnsi="宋体" w:eastAsia="宋体" w:cs="宋体"/>
                <w:i w:val="0"/>
                <w:iCs w:val="0"/>
                <w:color w:val="000000"/>
                <w:kern w:val="0"/>
                <w:sz w:val="36"/>
                <w:szCs w:val="36"/>
                <w:u w:val="none"/>
                <w:lang w:val="en-US" w:eastAsia="zh-CN" w:bidi="ar"/>
              </w:rPr>
              <w:br w:type="textWrapping"/>
            </w:r>
            <w:r>
              <w:rPr>
                <w:rStyle w:val="17"/>
                <w:lang w:val="en-US" w:eastAsia="zh-CN" w:bidi="ar"/>
              </w:rPr>
              <w:br w:type="textWrapping"/>
            </w:r>
            <w:r>
              <w:rPr>
                <w:rStyle w:val="18"/>
                <w:lang w:val="en-US" w:eastAsia="zh-CN" w:bidi="ar"/>
              </w:rPr>
              <w:br w:type="textWrapping"/>
            </w:r>
            <w:r>
              <w:rPr>
                <w:rStyle w:val="19"/>
                <w:lang w:val="en-US" w:eastAsia="zh-CN" w:bidi="ar"/>
              </w:rPr>
              <w:t>所有资料需加盖公章。</w:t>
            </w:r>
          </w:p>
        </w:tc>
        <w:tc>
          <w:tcPr>
            <w:tcW w:w="6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☑1.1营业执照、税务登记证、组织机构代码证或三证合一的公司营业执照复印件；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☑1.2法人授权委托书原件及被委托人和法人身份证复印件☑1.3公安部第三研究所颁发的 “网络安全服务认证证书等级保护测评服务认证”</w:t>
            </w:r>
          </w:p>
          <w:p>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p>
          <w:p>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bl>
    <w:p>
      <w:pPr>
        <w:widowControl/>
        <w:autoSpaceDE/>
        <w:autoSpaceDN/>
        <w:spacing w:beforeAutospacing="0" w:afterAutospacing="0" w:line="240" w:lineRule="auto"/>
        <w:ind w:left="0" w:leftChars="0" w:right="0" w:rightChars="0" w:firstLine="0" w:firstLineChars="0"/>
        <w:jc w:val="both"/>
        <w:outlineLvl w:val="9"/>
        <w:rPr>
          <w:rFonts w:hint="eastAsia" w:ascii="Times New Roman" w:hAnsi="方正小标宋简体" w:eastAsia="方正小标宋简体" w:cs="方正小标宋简体"/>
          <w:b w:val="0"/>
          <w:i w:val="0"/>
          <w:snapToGrid/>
          <w:spacing w:val="0"/>
          <w:w w:val="100"/>
          <w:sz w:val="44"/>
          <w:szCs w:val="24"/>
          <w:u w:val="none"/>
          <w:lang w:val="en-US" w:eastAsia="zh-CN"/>
        </w:rPr>
      </w:pPr>
      <w:r>
        <w:rPr>
          <w:rFonts w:hint="eastAsia" w:ascii="Times New Roman" w:hAnsi="方正小标宋简体" w:eastAsia="方正小标宋简体" w:cs="方正小标宋简体"/>
          <w:b w:val="0"/>
          <w:i w:val="0"/>
          <w:snapToGrid/>
          <w:spacing w:val="0"/>
          <w:w w:val="100"/>
          <w:sz w:val="44"/>
          <w:szCs w:val="24"/>
          <w:u w:val="none"/>
          <w:lang w:val="en-US" w:eastAsia="zh-CN"/>
        </w:rPr>
        <w:br w:type="page"/>
      </w:r>
    </w:p>
    <w:p>
      <w:pPr>
        <w:widowControl w:val="0"/>
        <w:autoSpaceDE/>
        <w:autoSpaceDN/>
        <w:spacing w:beforeAutospacing="0" w:afterAutospacing="0" w:line="240" w:lineRule="auto"/>
        <w:ind w:left="0" w:leftChars="0" w:right="0" w:rightChars="0" w:firstLine="872" w:firstLineChars="200"/>
        <w:jc w:val="center"/>
        <w:outlineLvl w:val="0"/>
        <w:rPr>
          <w:rFonts w:hint="eastAsia" w:ascii="Times New Roman" w:hAnsi="黑体" w:eastAsia="黑体" w:cs="黑体"/>
          <w:b w:val="0"/>
          <w:i w:val="0"/>
          <w:snapToGrid/>
          <w:spacing w:val="0"/>
          <w:w w:val="100"/>
          <w:sz w:val="44"/>
          <w:szCs w:val="44"/>
          <w:u w:val="none"/>
          <w:lang w:val="en-US" w:eastAsia="zh-CN"/>
        </w:rPr>
      </w:pPr>
      <w:bookmarkStart w:id="1" w:name="_Toc27643"/>
      <w:r>
        <w:rPr>
          <w:rFonts w:hint="eastAsia" w:ascii="Times New Roman" w:hAnsi="黑体" w:eastAsia="黑体" w:cs="黑体"/>
          <w:b w:val="0"/>
          <w:i w:val="0"/>
          <w:snapToGrid/>
          <w:spacing w:val="0"/>
          <w:w w:val="100"/>
          <w:sz w:val="44"/>
          <w:szCs w:val="44"/>
          <w:u w:val="none"/>
          <w:lang w:val="en-US" w:eastAsia="zh-CN"/>
        </w:rPr>
        <w:t>投标人须知</w:t>
      </w:r>
      <w:bookmarkEnd w:id="1"/>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总则与资格：投标人须具备法定资格且信誉良好，承认并履行招标文件规定。</w:t>
      </w:r>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文件编制：投标文件应包含报价、技术响应及资格证明等，必须对实质性要求（如※或★号条款）作出完全响应。目录需清晰准确，否则将作不利处理。</w:t>
      </w:r>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投标报价：提供唯一含税全包价。若报价异常偏低，须提供合理书面说明及证明。</w:t>
      </w:r>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递交与开标：须在截止时间前密封送达，逾期拒收。本项目采用综合评分法，严格按量化标准评审。</w:t>
      </w:r>
    </w:p>
    <w:p>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定标与责任：中标后2日内签订合同。严禁提供虚假材料，违者取消中标资格并追究法律责任。</w:t>
      </w:r>
    </w:p>
    <w:p>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p>
    <w:p>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val="en-US" w:eastAsia="zh-CN"/>
        </w:rPr>
      </w:pPr>
      <w:bookmarkStart w:id="2" w:name="_Toc5210"/>
      <w:r>
        <w:rPr>
          <w:rFonts w:hint="eastAsia" w:ascii="Times New Roman" w:hAnsi="方正小标宋简体" w:eastAsia="方正小标宋简体" w:cs="方正小标宋简体"/>
          <w:b w:val="0"/>
          <w:i w:val="0"/>
          <w:snapToGrid/>
          <w:spacing w:val="0"/>
          <w:w w:val="100"/>
          <w:sz w:val="44"/>
          <w:szCs w:val="24"/>
          <w:u w:val="none"/>
          <w:lang w:val="en-US" w:eastAsia="zh-CN"/>
        </w:rPr>
        <w:t>评标办法附表</w:t>
      </w:r>
      <w:bookmarkEnd w:id="2"/>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
        <w:gridCol w:w="1404"/>
        <w:gridCol w:w="7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序号</w:t>
            </w:r>
          </w:p>
        </w:tc>
        <w:tc>
          <w:tcPr>
            <w:tcW w:w="1404" w:type="dxa"/>
          </w:tcPr>
          <w:p>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w:t>
            </w:r>
          </w:p>
        </w:tc>
        <w:tc>
          <w:tcPr>
            <w:tcW w:w="7149" w:type="dxa"/>
          </w:tcPr>
          <w:p>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评审因素量化指标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5" w:hRule="atLeast"/>
        </w:trPr>
        <w:tc>
          <w:tcPr>
            <w:tcW w:w="0" w:type="auto"/>
            <w:vAlign w:val="center"/>
          </w:tcPr>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1</w:t>
            </w:r>
          </w:p>
        </w:tc>
        <w:tc>
          <w:tcPr>
            <w:tcW w:w="1404" w:type="dxa"/>
            <w:vAlign w:val="center"/>
          </w:tcPr>
          <w:p>
            <w:pPr>
              <w:spacing w:line="360" w:lineRule="auto"/>
              <w:jc w:val="center"/>
              <w:rPr>
                <w:rFonts w:ascii="宋体" w:hAnsi="宋体" w:cs="宋体"/>
                <w:sz w:val="24"/>
              </w:rPr>
            </w:pPr>
            <w:r>
              <w:rPr>
                <w:rFonts w:hint="eastAsia" w:ascii="宋体" w:hAnsi="宋体" w:cs="宋体"/>
                <w:sz w:val="24"/>
                <w:lang w:bidi="ar"/>
              </w:rPr>
              <w:t>技术部分</w:t>
            </w:r>
          </w:p>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cs="宋体"/>
                <w:sz w:val="24"/>
                <w:lang w:bidi="ar"/>
              </w:rPr>
              <w:t>(</w:t>
            </w:r>
            <w:r>
              <w:rPr>
                <w:rFonts w:hint="eastAsia" w:ascii="宋体" w:hAnsi="宋体" w:cs="宋体"/>
                <w:sz w:val="24"/>
                <w:lang w:val="en-US" w:eastAsia="zh-CN" w:bidi="ar"/>
              </w:rPr>
              <w:t>40</w:t>
            </w:r>
            <w:r>
              <w:rPr>
                <w:rFonts w:hint="eastAsia" w:ascii="宋体" w:hAnsi="宋体" w:cs="宋体"/>
                <w:sz w:val="24"/>
                <w:lang w:bidi="ar"/>
              </w:rPr>
              <w:t>分)</w:t>
            </w:r>
          </w:p>
        </w:tc>
        <w:tc>
          <w:tcPr>
            <w:tcW w:w="7149" w:type="dxa"/>
          </w:tcPr>
          <w:p>
            <w:pPr>
              <w:keepNext w:val="0"/>
              <w:keepLines w:val="0"/>
              <w:pageBreakBefore w:val="0"/>
              <w:widowControl w:val="0"/>
              <w:numPr>
                <w:ilvl w:val="0"/>
                <w:numId w:val="1"/>
              </w:numPr>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测评方案 （</w:t>
            </w:r>
            <w:r>
              <w:rPr>
                <w:rFonts w:hint="eastAsia" w:ascii="宋体" w:hAnsi="宋体" w:eastAsia="宋体" w:cs="宋体"/>
                <w:spacing w:val="-1"/>
                <w:sz w:val="24"/>
                <w:szCs w:val="24"/>
                <w:lang w:val="en-US" w:eastAsia="zh-CN"/>
              </w:rPr>
              <w:t>8</w:t>
            </w:r>
            <w:r>
              <w:rPr>
                <w:rFonts w:hint="eastAsia" w:ascii="宋体" w:hAnsi="宋体" w:eastAsia="宋体" w:cs="宋体"/>
                <w:spacing w:val="-1"/>
                <w:sz w:val="24"/>
                <w:szCs w:val="24"/>
                <w:lang w:eastAsia="zh-CN"/>
              </w:rPr>
              <w:t>分）</w:t>
            </w:r>
          </w:p>
          <w:p>
            <w:pPr>
              <w:keepNext w:val="0"/>
              <w:keepLines w:val="0"/>
              <w:pageBreakBefore w:val="0"/>
              <w:widowControl w:val="0"/>
              <w:numPr>
                <w:ilvl w:val="0"/>
                <w:numId w:val="0"/>
              </w:numPr>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测评方案编制内容全面、合理，可行，明确的项目测评内容、测评方法、配合事项，风险管理措施，漏洞扫描，渗透测试等内容。</w:t>
            </w:r>
          </w:p>
          <w:p>
            <w:pPr>
              <w:keepNext w:val="0"/>
              <w:keepLines w:val="0"/>
              <w:pageBreakBefore w:val="0"/>
              <w:widowControl w:val="0"/>
              <w:kinsoku/>
              <w:wordWrap/>
              <w:overflowPunct/>
              <w:topLinePunct w:val="0"/>
              <w:autoSpaceDE/>
              <w:autoSpaceDN/>
              <w:bidi w:val="0"/>
              <w:adjustRightInd/>
              <w:spacing w:line="0" w:lineRule="atLeast"/>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（1）测评方案内容全面、完整、严谨详实得</w:t>
            </w:r>
            <w:r>
              <w:rPr>
                <w:rFonts w:hint="eastAsia" w:ascii="宋体" w:hAnsi="宋体" w:eastAsia="宋体" w:cs="宋体"/>
                <w:spacing w:val="-1"/>
                <w:sz w:val="24"/>
                <w:szCs w:val="24"/>
                <w:lang w:val="en-US" w:eastAsia="zh-CN"/>
              </w:rPr>
              <w:t>6</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8</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（2）测评方案内容包含以上部分内容且科学、合理、有针对性，完善程度比较全面的，得</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textAlignment w:val="auto"/>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（3）测评方案一般，得1-</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未提供不得分。</w:t>
            </w:r>
          </w:p>
          <w:p>
            <w:pPr>
              <w:keepNext w:val="0"/>
              <w:keepLines w:val="0"/>
              <w:pageBreakBefore w:val="0"/>
              <w:widowControl w:val="0"/>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二、</w:t>
            </w:r>
            <w:r>
              <w:rPr>
                <w:rFonts w:hint="eastAsia" w:ascii="宋体" w:hAnsi="宋体" w:eastAsia="宋体" w:cs="宋体"/>
                <w:spacing w:val="-1"/>
                <w:sz w:val="24"/>
                <w:szCs w:val="24"/>
                <w:lang w:eastAsia="zh-CN"/>
              </w:rPr>
              <w:t>实施流程方案（</w:t>
            </w:r>
            <w:r>
              <w:rPr>
                <w:rFonts w:hint="eastAsia" w:ascii="宋体" w:hAnsi="宋体" w:eastAsia="宋体" w:cs="宋体"/>
                <w:spacing w:val="-1"/>
                <w:sz w:val="24"/>
                <w:szCs w:val="24"/>
                <w:lang w:val="en-US" w:eastAsia="zh-CN"/>
              </w:rPr>
              <w:t>8</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实施流程方案内容科学，合理、可行，明确实施团队、实施过程、时间节点、实施流程等。</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（1）实施流程方案包含以上全部内容且科学、合理、有针对性，完善程度非常全面准确的，得</w:t>
            </w:r>
            <w:r>
              <w:rPr>
                <w:rFonts w:hint="eastAsia" w:ascii="宋体" w:hAnsi="宋体" w:eastAsia="宋体" w:cs="宋体"/>
                <w:spacing w:val="-1"/>
                <w:sz w:val="24"/>
                <w:szCs w:val="24"/>
                <w:lang w:val="en-US" w:eastAsia="zh-CN"/>
              </w:rPr>
              <w:t>6</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8</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（2）实施流程方案包含以上部分内容且科学、合理、有针对性，完善程度比较全面的，得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（3）实施流程方案一般，得1-</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（4）未提供不得分。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三、</w:t>
            </w:r>
            <w:r>
              <w:rPr>
                <w:rFonts w:hint="eastAsia" w:ascii="宋体" w:hAnsi="宋体" w:eastAsia="宋体" w:cs="宋体"/>
                <w:spacing w:val="-1"/>
                <w:sz w:val="24"/>
                <w:szCs w:val="24"/>
                <w:lang w:eastAsia="zh-CN"/>
              </w:rPr>
              <w:t>质量保障方案（</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（1）质量保障方案能针对本项目特点编制，质量保障方案完整、工作进度计划控制措施合理可行的，得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（2）质量保障方案不够完整、工作进度计划控制措施合理、可行度一般的，得2分；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（3）质量保障方案不完整、工作进度计划控制措施不够合理、可行度一般的，得1分；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（4）未提供不得分。</w:t>
            </w:r>
          </w:p>
          <w:p>
            <w:pPr>
              <w:keepNext w:val="0"/>
              <w:keepLines w:val="0"/>
              <w:pageBreakBefore w:val="0"/>
              <w:widowControl w:val="0"/>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四、</w:t>
            </w:r>
            <w:r>
              <w:rPr>
                <w:rFonts w:hint="eastAsia" w:ascii="宋体" w:hAnsi="宋体" w:eastAsia="宋体" w:cs="宋体"/>
                <w:spacing w:val="-1"/>
                <w:sz w:val="24"/>
                <w:szCs w:val="24"/>
                <w:lang w:eastAsia="zh-CN"/>
              </w:rPr>
              <w:t>保密措施（</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对项目实施过程中有详细的保密措施且全面、可行性高，完整性好，至少包含保密原则、保密实施措施、人员保密管理、文档保密管理、保密工具等。</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（1）保密措施科学，合理、可行的得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（2）保密措施较科学，合理、可行的得2分；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（3）保密措施一般的得1分；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（4）未提供不得分。</w:t>
            </w:r>
          </w:p>
          <w:p>
            <w:pPr>
              <w:keepNext w:val="0"/>
              <w:keepLines w:val="0"/>
              <w:pageBreakBefore w:val="0"/>
              <w:widowControl w:val="0"/>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五、</w:t>
            </w:r>
            <w:r>
              <w:rPr>
                <w:rFonts w:hint="eastAsia" w:ascii="宋体" w:hAnsi="宋体" w:eastAsia="宋体" w:cs="宋体"/>
                <w:spacing w:val="-1"/>
                <w:sz w:val="24"/>
                <w:szCs w:val="24"/>
                <w:lang w:eastAsia="zh-CN"/>
              </w:rPr>
              <w:t>售后服务（</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根据供应商提供的售后服务承诺内容（包含但不限于服务响应时间、服务内容、服务人员等方面）内容全面，可操作、可实施、可执行进行评审：</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（1）完全包含以上全部内容且科学、合理、有针对性，完善程度非常全面准确的，得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（2）可以满足以上全部内容，但有个别细节需要进一步完善得2分；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（3）虽然能够满足以上全部内容，但有很多方面需要进一步完善得1分；</w:t>
            </w:r>
          </w:p>
          <w:p>
            <w:pPr>
              <w:keepNext w:val="0"/>
              <w:keepLines w:val="0"/>
              <w:pageBreakBefore w:val="0"/>
              <w:widowControl w:val="0"/>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（4）未提供不得分。</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eastAsia" w:ascii="宋体" w:hAnsi="宋体" w:eastAsia="宋体" w:cs="宋体"/>
                <w:color w:val="auto"/>
                <w:spacing w:val="-1"/>
                <w:sz w:val="24"/>
                <w:szCs w:val="24"/>
                <w:lang w:eastAsia="zh-CN"/>
              </w:rPr>
            </w:pPr>
            <w:r>
              <w:rPr>
                <w:rFonts w:hint="eastAsia" w:ascii="宋体" w:hAnsi="宋体" w:eastAsia="宋体" w:cs="宋体"/>
                <w:spacing w:val="-1"/>
                <w:sz w:val="24"/>
                <w:szCs w:val="24"/>
                <w:lang w:val="en-US" w:eastAsia="zh-CN"/>
              </w:rPr>
              <w:t>六</w:t>
            </w:r>
            <w:r>
              <w:rPr>
                <w:rFonts w:hint="eastAsia" w:ascii="宋体" w:hAnsi="宋体" w:eastAsia="宋体" w:cs="宋体"/>
                <w:color w:val="auto"/>
                <w:spacing w:val="-1"/>
                <w:sz w:val="24"/>
                <w:szCs w:val="24"/>
                <w:lang w:val="en-US" w:eastAsia="zh-CN"/>
              </w:rPr>
              <w:t>、</w:t>
            </w:r>
            <w:r>
              <w:rPr>
                <w:rFonts w:hint="eastAsia" w:ascii="宋体" w:hAnsi="宋体" w:eastAsia="宋体" w:cs="宋体"/>
                <w:color w:val="auto"/>
                <w:spacing w:val="-1"/>
                <w:sz w:val="24"/>
                <w:szCs w:val="24"/>
                <w:lang w:eastAsia="zh-CN"/>
              </w:rPr>
              <w:t>安全检测能力（1</w:t>
            </w:r>
            <w:r>
              <w:rPr>
                <w:rFonts w:hint="eastAsia" w:ascii="宋体" w:hAnsi="宋体" w:eastAsia="宋体" w:cs="宋体"/>
                <w:color w:val="auto"/>
                <w:spacing w:val="-1"/>
                <w:sz w:val="24"/>
                <w:szCs w:val="24"/>
                <w:lang w:val="en-US" w:eastAsia="zh-CN"/>
              </w:rPr>
              <w:t>2</w:t>
            </w:r>
            <w:r>
              <w:rPr>
                <w:rFonts w:hint="eastAsia" w:ascii="宋体" w:hAnsi="宋体" w:eastAsia="宋体" w:cs="宋体"/>
                <w:color w:val="auto"/>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color w:val="FF0000"/>
                <w:spacing w:val="-1"/>
                <w:sz w:val="24"/>
                <w:szCs w:val="24"/>
                <w:lang w:eastAsia="zh-CN"/>
              </w:rPr>
            </w:pPr>
            <w:r>
              <w:rPr>
                <w:rFonts w:hint="eastAsia" w:ascii="宋体" w:hAnsi="宋体" w:eastAsia="宋体" w:cs="宋体"/>
                <w:color w:val="auto"/>
                <w:spacing w:val="-1"/>
                <w:sz w:val="24"/>
                <w:szCs w:val="24"/>
                <w:lang w:eastAsia="zh-CN"/>
              </w:rPr>
              <w:t>1、为保障系统测评过程中的数据安全，要求测评团队人员的测评终端具备安全防护措施（所使用的测评终端须具备文档加密，终端防病毒能力）防止内部数据泄密，测评终端同时具备文档加密和防病毒的得5分，其他情况不得分。注：提供“电子文档安全、防病毒或内网安全管理（含防病毒）”字样的测评终端采购合同关键页、发票、文档加密和终端防病毒功能截图扫描件并加盖公章。</w:t>
            </w:r>
          </w:p>
          <w:p>
            <w:pPr>
              <w:pStyle w:val="2"/>
              <w:keepNext w:val="0"/>
              <w:keepLines w:val="0"/>
              <w:pageBreakBefore w:val="0"/>
              <w:widowControl w:val="0"/>
              <w:kinsoku/>
              <w:wordWrap/>
              <w:overflowPunct/>
              <w:topLinePunct w:val="0"/>
              <w:autoSpaceDE/>
              <w:autoSpaceDN/>
              <w:bidi w:val="0"/>
              <w:adjustRightInd/>
              <w:spacing w:line="0" w:lineRule="atLeast"/>
              <w:ind w:left="0" w:leftChars="0" w:firstLine="0" w:firstLineChars="0"/>
              <w:rPr>
                <w:rFonts w:hint="default" w:ascii="宋体" w:hAnsi="宋体" w:eastAsia="宋体" w:cs="宋体"/>
                <w:spacing w:val="-1"/>
                <w:sz w:val="24"/>
                <w:szCs w:val="24"/>
                <w:lang w:val="en-US" w:eastAsia="zh-CN"/>
              </w:rPr>
            </w:pPr>
            <w:r>
              <w:rPr>
                <w:rFonts w:hint="eastAsia" w:ascii="宋体" w:hAnsi="宋体" w:eastAsia="宋体" w:cs="宋体"/>
                <w:spacing w:val="-1"/>
                <w:sz w:val="24"/>
                <w:szCs w:val="24"/>
                <w:lang w:eastAsia="zh-CN"/>
              </w:rPr>
              <w:t>2、具有自主知识产权的（1）网络安全综合治理考核评价系统、（2）网络安全监控指挥系统、（3）网络安全管理系统、（4）IPV6邻居发现欺骗安全检测软件、（5）网络安全态势感知系统、（6）大数据安全通信协议检测评估系统、（7）IPV6网络漏洞扫描系统、（8）IPv6网络漏洞验证工具系统、（9）安全日志大数据分析系统、（10）APP安全测评系统、（11）基于大数据及机器学习技术的网络安全管理系统、（12）IPV6网络资产发现工具系统、（13）邮件系统安全测评工具软件、（14）网络安全检查与运维管理系统等方面的计算机软件著作权登记证书，每提供一项得1分，最高得</w:t>
            </w: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lang w:eastAsia="zh-CN"/>
              </w:rPr>
              <w:t>分；【供应商需提供上述计算机软件著作权登记证书复印件，加盖公章】。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2</w:t>
            </w:r>
          </w:p>
        </w:tc>
        <w:tc>
          <w:tcPr>
            <w:tcW w:w="1404" w:type="dxa"/>
            <w:vAlign w:val="center"/>
          </w:tcPr>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cs="宋体"/>
                <w:sz w:val="24"/>
                <w:lang w:bidi="ar"/>
              </w:rPr>
              <w:t>商务部分（</w:t>
            </w:r>
            <w:r>
              <w:rPr>
                <w:rFonts w:hint="eastAsia" w:ascii="宋体" w:hAnsi="宋体" w:cs="宋体"/>
                <w:sz w:val="24"/>
                <w:lang w:val="en-US" w:eastAsia="zh-CN" w:bidi="ar"/>
              </w:rPr>
              <w:t>3</w:t>
            </w:r>
            <w:r>
              <w:rPr>
                <w:rFonts w:hint="eastAsia" w:ascii="宋体" w:hAnsi="宋体" w:cs="宋体"/>
                <w:sz w:val="24"/>
                <w:lang w:bidi="ar"/>
              </w:rPr>
              <w:t>0分）</w:t>
            </w:r>
          </w:p>
        </w:tc>
        <w:tc>
          <w:tcPr>
            <w:tcW w:w="7149" w:type="dxa"/>
          </w:tcPr>
          <w:p>
            <w:pPr>
              <w:keepNext w:val="0"/>
              <w:keepLines w:val="0"/>
              <w:pageBreakBefore w:val="0"/>
              <w:widowControl w:val="0"/>
              <w:numPr>
                <w:ilvl w:val="0"/>
                <w:numId w:val="2"/>
              </w:numPr>
              <w:kinsoku/>
              <w:wordWrap/>
              <w:overflowPunct/>
              <w:topLinePunct w:val="0"/>
              <w:autoSpaceDE/>
              <w:autoSpaceDN/>
              <w:bidi w:val="0"/>
              <w:adjustRightInd/>
              <w:snapToGrid w:val="0"/>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项目业绩（</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供应商202</w:t>
            </w:r>
            <w:r>
              <w:rPr>
                <w:rFonts w:ascii="宋体" w:hAnsi="宋体" w:eastAsia="宋体" w:cs="宋体"/>
                <w:spacing w:val="-1"/>
                <w:sz w:val="24"/>
                <w:szCs w:val="24"/>
                <w:lang w:eastAsia="zh-CN"/>
              </w:rPr>
              <w:t>3</w:t>
            </w:r>
            <w:r>
              <w:rPr>
                <w:rFonts w:hint="eastAsia" w:ascii="宋体" w:hAnsi="宋体" w:eastAsia="宋体" w:cs="宋体"/>
                <w:spacing w:val="-1"/>
                <w:sz w:val="24"/>
                <w:szCs w:val="24"/>
                <w:lang w:eastAsia="zh-CN"/>
              </w:rPr>
              <w:t>年1月1日以来承接过类似行业的测评项目，每个业绩得</w:t>
            </w: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lang w:eastAsia="zh-CN"/>
              </w:rPr>
              <w:t>分，本项最高得</w:t>
            </w: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lang w:eastAsia="zh-CN"/>
              </w:rPr>
              <w:t>分。</w:t>
            </w:r>
          </w:p>
          <w:p>
            <w:pPr>
              <w:pStyle w:val="2"/>
              <w:keepNext w:val="0"/>
              <w:keepLines w:val="0"/>
              <w:pageBreakBefore w:val="0"/>
              <w:widowControl w:val="0"/>
              <w:numPr>
                <w:ilvl w:val="0"/>
                <w:numId w:val="0"/>
              </w:numPr>
              <w:kinsoku/>
              <w:wordWrap/>
              <w:overflowPunct/>
              <w:topLinePunct w:val="0"/>
              <w:autoSpaceDE/>
              <w:autoSpaceDN/>
              <w:bidi w:val="0"/>
              <w:adjustRightInd/>
              <w:spacing w:line="0" w:lineRule="atLeast"/>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【注：以合同签订时间为准，须附业绩合同，加盖供应商公章】</w:t>
            </w:r>
          </w:p>
          <w:p>
            <w:pPr>
              <w:keepNext w:val="0"/>
              <w:keepLines w:val="0"/>
              <w:pageBreakBefore w:val="0"/>
              <w:widowControl w:val="0"/>
              <w:numPr>
                <w:ilvl w:val="0"/>
                <w:numId w:val="2"/>
              </w:numPr>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企业实力(1</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ascii="宋体" w:hAnsi="宋体" w:eastAsia="宋体" w:cs="宋体"/>
                <w:spacing w:val="-1"/>
                <w:sz w:val="24"/>
                <w:szCs w:val="24"/>
                <w:lang w:eastAsia="zh-CN"/>
              </w:rPr>
              <w:t>1</w:t>
            </w:r>
            <w:r>
              <w:rPr>
                <w:rFonts w:hint="eastAsia" w:ascii="宋体" w:hAnsi="宋体" w:eastAsia="宋体" w:cs="宋体"/>
                <w:spacing w:val="-1"/>
                <w:sz w:val="24"/>
                <w:szCs w:val="24"/>
                <w:lang w:eastAsia="zh-CN"/>
              </w:rPr>
              <w:t>、供应商具有</w:t>
            </w:r>
            <w:r>
              <w:rPr>
                <w:rFonts w:ascii="宋体" w:hAnsi="宋体" w:eastAsia="宋体" w:cs="宋体"/>
                <w:spacing w:val="-1"/>
                <w:sz w:val="24"/>
                <w:szCs w:val="24"/>
                <w:lang w:eastAsia="zh-CN"/>
              </w:rPr>
              <w:t xml:space="preserve">ISO20000 </w:t>
            </w:r>
            <w:r>
              <w:rPr>
                <w:rFonts w:hint="eastAsia" w:ascii="宋体" w:hAnsi="宋体" w:eastAsia="宋体" w:cs="宋体"/>
                <w:spacing w:val="-1"/>
                <w:sz w:val="24"/>
                <w:szCs w:val="24"/>
                <w:lang w:eastAsia="zh-CN"/>
              </w:rPr>
              <w:t>信息技术服务管理体系认证，</w:t>
            </w:r>
            <w:r>
              <w:rPr>
                <w:rFonts w:ascii="宋体" w:hAnsi="宋体" w:eastAsia="宋体" w:cs="宋体"/>
                <w:spacing w:val="-1"/>
                <w:sz w:val="24"/>
                <w:szCs w:val="24"/>
                <w:lang w:eastAsia="zh-CN"/>
              </w:rPr>
              <w:t xml:space="preserve">ISO27001 </w:t>
            </w:r>
            <w:r>
              <w:rPr>
                <w:rFonts w:hint="eastAsia" w:ascii="宋体" w:hAnsi="宋体" w:eastAsia="宋体" w:cs="宋体"/>
                <w:spacing w:val="-1"/>
                <w:sz w:val="24"/>
                <w:szCs w:val="24"/>
                <w:lang w:eastAsia="zh-CN"/>
              </w:rPr>
              <w:t>信息安全管理体系认证证书，</w:t>
            </w:r>
            <w:r>
              <w:rPr>
                <w:rFonts w:ascii="宋体" w:hAnsi="宋体" w:eastAsia="宋体" w:cs="宋体"/>
                <w:spacing w:val="-1"/>
                <w:sz w:val="24"/>
                <w:szCs w:val="24"/>
                <w:lang w:eastAsia="zh-CN"/>
              </w:rPr>
              <w:t xml:space="preserve">ISO9001 </w:t>
            </w:r>
            <w:r>
              <w:rPr>
                <w:rFonts w:hint="eastAsia" w:ascii="宋体" w:hAnsi="宋体" w:eastAsia="宋体" w:cs="宋体"/>
                <w:spacing w:val="-1"/>
                <w:sz w:val="24"/>
                <w:szCs w:val="24"/>
                <w:lang w:eastAsia="zh-CN"/>
              </w:rPr>
              <w:t>质量管理体系认证证书，每提供一个证书得</w:t>
            </w:r>
            <w:r>
              <w:rPr>
                <w:rFonts w:ascii="宋体" w:hAnsi="宋体" w:eastAsia="宋体" w:cs="宋体"/>
                <w:spacing w:val="-1"/>
                <w:sz w:val="24"/>
                <w:szCs w:val="24"/>
                <w:lang w:eastAsia="zh-CN"/>
              </w:rPr>
              <w:t>1</w:t>
            </w:r>
            <w:r>
              <w:rPr>
                <w:rFonts w:hint="eastAsia" w:ascii="宋体" w:hAnsi="宋体" w:eastAsia="宋体" w:cs="宋体"/>
                <w:spacing w:val="-1"/>
                <w:sz w:val="24"/>
                <w:szCs w:val="24"/>
                <w:lang w:eastAsia="zh-CN"/>
              </w:rPr>
              <w:t>分，最多得</w:t>
            </w:r>
            <w:r>
              <w:rPr>
                <w:rFonts w:ascii="宋体" w:hAnsi="宋体" w:eastAsia="宋体" w:cs="宋体"/>
                <w:spacing w:val="-1"/>
                <w:sz w:val="24"/>
                <w:szCs w:val="24"/>
                <w:lang w:eastAsia="zh-CN"/>
              </w:rPr>
              <w:t>3</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color w:val="auto"/>
                <w:spacing w:val="-1"/>
                <w:sz w:val="24"/>
                <w:szCs w:val="24"/>
                <w:lang w:eastAsia="zh-CN"/>
              </w:rPr>
            </w:pPr>
            <w:r>
              <w:rPr>
                <w:rFonts w:ascii="宋体" w:hAnsi="宋体" w:eastAsia="宋体" w:cs="宋体"/>
                <w:spacing w:val="-1"/>
                <w:sz w:val="24"/>
                <w:szCs w:val="24"/>
                <w:lang w:eastAsia="zh-CN"/>
              </w:rPr>
              <w:t>2</w:t>
            </w:r>
            <w:r>
              <w:rPr>
                <w:rFonts w:hint="eastAsia" w:ascii="宋体" w:hAnsi="宋体" w:eastAsia="宋体" w:cs="宋体"/>
                <w:color w:val="auto"/>
                <w:spacing w:val="-1"/>
                <w:sz w:val="24"/>
                <w:szCs w:val="24"/>
                <w:lang w:eastAsia="zh-CN"/>
              </w:rPr>
              <w:t>、供应商具有数据管理能力成熟度评估机构证书，提供相关证书者得</w:t>
            </w:r>
            <w:r>
              <w:rPr>
                <w:rFonts w:hint="eastAsia" w:ascii="宋体" w:hAnsi="宋体" w:eastAsia="宋体" w:cs="宋体"/>
                <w:color w:val="auto"/>
                <w:spacing w:val="-1"/>
                <w:sz w:val="24"/>
                <w:szCs w:val="24"/>
                <w:lang w:val="en-US" w:eastAsia="zh-CN"/>
              </w:rPr>
              <w:t>3</w:t>
            </w:r>
            <w:r>
              <w:rPr>
                <w:rFonts w:hint="eastAsia" w:ascii="宋体" w:hAnsi="宋体" w:eastAsia="宋体" w:cs="宋体"/>
                <w:color w:val="auto"/>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color w:val="auto"/>
                <w:spacing w:val="-1"/>
                <w:sz w:val="24"/>
                <w:szCs w:val="24"/>
                <w:lang w:eastAsia="zh-CN"/>
              </w:rPr>
            </w:pPr>
            <w:r>
              <w:rPr>
                <w:rFonts w:ascii="宋体" w:hAnsi="宋体" w:eastAsia="宋体" w:cs="宋体"/>
                <w:color w:val="auto"/>
                <w:spacing w:val="-1"/>
                <w:sz w:val="24"/>
                <w:szCs w:val="24"/>
                <w:lang w:eastAsia="zh-CN"/>
              </w:rPr>
              <w:t>3</w:t>
            </w:r>
            <w:r>
              <w:rPr>
                <w:rFonts w:hint="eastAsia" w:ascii="宋体" w:hAnsi="宋体" w:eastAsia="宋体" w:cs="宋体"/>
                <w:color w:val="auto"/>
                <w:spacing w:val="-1"/>
                <w:sz w:val="24"/>
                <w:szCs w:val="24"/>
                <w:lang w:eastAsia="zh-CN"/>
              </w:rPr>
              <w:t>、供应商曾参与中华人民共和国国家标准，信息安全风险评估类标准编制的，得</w:t>
            </w:r>
            <w:r>
              <w:rPr>
                <w:rFonts w:hint="eastAsia" w:ascii="宋体" w:hAnsi="宋体" w:eastAsia="宋体" w:cs="宋体"/>
                <w:color w:val="auto"/>
                <w:spacing w:val="-1"/>
                <w:sz w:val="24"/>
                <w:szCs w:val="24"/>
                <w:lang w:val="en-US" w:eastAsia="zh-CN"/>
              </w:rPr>
              <w:t>4</w:t>
            </w:r>
            <w:r>
              <w:rPr>
                <w:rFonts w:hint="eastAsia" w:ascii="宋体" w:hAnsi="宋体" w:eastAsia="宋体" w:cs="宋体"/>
                <w:color w:val="auto"/>
                <w:spacing w:val="-1"/>
                <w:sz w:val="24"/>
                <w:szCs w:val="24"/>
                <w:lang w:eastAsia="zh-CN"/>
              </w:rPr>
              <w:t>分；</w:t>
            </w:r>
          </w:p>
          <w:p>
            <w:pPr>
              <w:pStyle w:val="2"/>
              <w:keepNext w:val="0"/>
              <w:keepLines w:val="0"/>
              <w:pageBreakBefore w:val="0"/>
              <w:widowControl w:val="0"/>
              <w:kinsoku/>
              <w:wordWrap/>
              <w:overflowPunct/>
              <w:topLinePunct w:val="0"/>
              <w:autoSpaceDE/>
              <w:autoSpaceDN/>
              <w:bidi w:val="0"/>
              <w:adjustRightInd/>
              <w:spacing w:after="0" w:line="0" w:lineRule="atLeast"/>
              <w:ind w:firstLine="0" w:firstLineChars="0"/>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4、供应商具有信息安全服务资质认证证书</w:t>
            </w:r>
            <w:r>
              <w:rPr>
                <w:rFonts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eastAsia="zh-CN"/>
              </w:rPr>
              <w:t>信息系统安全运维服务资质（二级及以上）的，得</w:t>
            </w:r>
            <w:r>
              <w:rPr>
                <w:rFonts w:ascii="宋体" w:hAnsi="宋体" w:eastAsia="宋体" w:cs="宋体"/>
                <w:color w:val="auto"/>
                <w:spacing w:val="-1"/>
                <w:sz w:val="24"/>
                <w:szCs w:val="24"/>
                <w:lang w:eastAsia="zh-CN"/>
              </w:rPr>
              <w:t>3</w:t>
            </w:r>
            <w:r>
              <w:rPr>
                <w:rFonts w:hint="eastAsia" w:ascii="宋体" w:hAnsi="宋体" w:eastAsia="宋体" w:cs="宋体"/>
                <w:color w:val="auto"/>
                <w:spacing w:val="-1"/>
                <w:sz w:val="24"/>
                <w:szCs w:val="24"/>
                <w:lang w:eastAsia="zh-CN"/>
              </w:rPr>
              <w:t>分。</w:t>
            </w:r>
          </w:p>
          <w:p>
            <w:pPr>
              <w:pStyle w:val="2"/>
              <w:keepNext w:val="0"/>
              <w:keepLines w:val="0"/>
              <w:pageBreakBefore w:val="0"/>
              <w:widowControl w:val="0"/>
              <w:numPr>
                <w:ilvl w:val="0"/>
                <w:numId w:val="0"/>
              </w:numPr>
              <w:kinsoku/>
              <w:wordWrap/>
              <w:overflowPunct/>
              <w:topLinePunct w:val="0"/>
              <w:autoSpaceDE/>
              <w:autoSpaceDN/>
              <w:bidi w:val="0"/>
              <w:adjustRightInd/>
              <w:spacing w:line="0" w:lineRule="atLeast"/>
              <w:ind w:left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备注：【提供相关证明文件或证书扫描件并加盖公章】</w:t>
            </w:r>
          </w:p>
          <w:p>
            <w:pPr>
              <w:keepNext w:val="0"/>
              <w:keepLines w:val="0"/>
              <w:pageBreakBefore w:val="0"/>
              <w:widowControl w:val="0"/>
              <w:numPr>
                <w:ilvl w:val="0"/>
                <w:numId w:val="2"/>
              </w:numPr>
              <w:kinsoku/>
              <w:wordWrap/>
              <w:overflowPunct/>
              <w:topLinePunct w:val="0"/>
              <w:autoSpaceDE/>
              <w:autoSpaceDN/>
              <w:bidi w:val="0"/>
              <w:adjustRightInd/>
              <w:spacing w:line="0" w:lineRule="atLeast"/>
              <w:ind w:left="0" w:leftChars="0" w:firstLine="0" w:firstLineChars="0"/>
              <w:rPr>
                <w:rFonts w:hint="eastAsia" w:ascii="宋体" w:hAnsi="宋体" w:eastAsia="宋体" w:cs="宋体"/>
                <w:spacing w:val="-1"/>
                <w:sz w:val="24"/>
                <w:szCs w:val="24"/>
                <w:lang w:eastAsia="zh-CN"/>
              </w:rPr>
            </w:pPr>
            <w:r>
              <w:rPr>
                <w:rFonts w:hint="eastAsia" w:ascii="宋体" w:hAnsi="宋体" w:eastAsia="宋体" w:cs="宋体"/>
                <w:spacing w:val="-1"/>
                <w:sz w:val="24"/>
                <w:szCs w:val="24"/>
                <w:lang w:eastAsia="zh-CN"/>
              </w:rPr>
              <w:t>项目人员（</w:t>
            </w:r>
            <w:r>
              <w:rPr>
                <w:rFonts w:hint="eastAsia" w:ascii="宋体" w:hAnsi="宋体" w:eastAsia="宋体" w:cs="宋体"/>
                <w:spacing w:val="-1"/>
                <w:sz w:val="24"/>
                <w:szCs w:val="24"/>
                <w:lang w:val="en-US" w:eastAsia="zh-CN"/>
              </w:rPr>
              <w:t>13</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1、项目负责人：</w:t>
            </w:r>
          </w:p>
          <w:p>
            <w:pPr>
              <w:pStyle w:val="2"/>
              <w:keepNext w:val="0"/>
              <w:keepLines w:val="0"/>
              <w:pageBreakBefore w:val="0"/>
              <w:widowControl w:val="0"/>
              <w:kinsoku/>
              <w:wordWrap/>
              <w:overflowPunct/>
              <w:topLinePunct w:val="0"/>
              <w:autoSpaceDE/>
              <w:autoSpaceDN/>
              <w:bidi w:val="0"/>
              <w:adjustRightInd/>
              <w:spacing w:after="0" w:line="0" w:lineRule="atLeast"/>
              <w:ind w:firstLine="0" w:firstLineChars="0"/>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项目负责人具有高级测评师证书，同时具有</w:t>
            </w:r>
            <w:r>
              <w:rPr>
                <w:rFonts w:ascii="宋体" w:hAnsi="宋体" w:eastAsia="宋体" w:cs="宋体"/>
                <w:spacing w:val="-1"/>
                <w:sz w:val="24"/>
                <w:szCs w:val="24"/>
                <w:lang w:eastAsia="zh-CN"/>
              </w:rPr>
              <w:t>INSPC</w:t>
            </w:r>
            <w:r>
              <w:rPr>
                <w:rFonts w:hint="eastAsia" w:ascii="宋体" w:hAnsi="宋体" w:eastAsia="宋体" w:cs="宋体"/>
                <w:spacing w:val="-1"/>
                <w:sz w:val="24"/>
                <w:szCs w:val="24"/>
                <w:lang w:eastAsia="zh-CN"/>
              </w:rPr>
              <w:t>信息网络安全专业人员认证（应急响应保障员）证书、信息安全保障人员认证证书（风险管理（专业级））、计算机技术与软件专业技术资格-信息安全工程师专业（中级及以上）和C</w:t>
            </w:r>
            <w:r>
              <w:rPr>
                <w:rFonts w:ascii="宋体" w:hAnsi="宋体" w:eastAsia="宋体" w:cs="宋体"/>
                <w:spacing w:val="-1"/>
                <w:sz w:val="24"/>
                <w:szCs w:val="24"/>
                <w:lang w:eastAsia="zh-CN"/>
              </w:rPr>
              <w:t>CRC-DSA</w:t>
            </w:r>
            <w:r>
              <w:rPr>
                <w:rFonts w:hint="eastAsia" w:ascii="宋体" w:hAnsi="宋体" w:eastAsia="宋体" w:cs="宋体"/>
                <w:spacing w:val="-1"/>
                <w:sz w:val="24"/>
                <w:szCs w:val="24"/>
                <w:lang w:eastAsia="zh-CN"/>
              </w:rPr>
              <w:t>数据安全评估师认证证书，得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分，缺项不得分，本项最多得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2、项目团队测评人员：</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1）拟派现场项目经理具有高级测评师证书，同时</w:t>
            </w:r>
            <w:r>
              <w:rPr>
                <w:rFonts w:ascii="宋体" w:hAnsi="宋体" w:eastAsia="宋体" w:cs="宋体"/>
                <w:spacing w:val="-1"/>
                <w:sz w:val="24"/>
                <w:szCs w:val="24"/>
                <w:lang w:eastAsia="zh-CN"/>
              </w:rPr>
              <w:t>INSPC</w:t>
            </w:r>
            <w:r>
              <w:rPr>
                <w:rFonts w:hint="eastAsia" w:ascii="宋体" w:hAnsi="宋体" w:eastAsia="宋体" w:cs="宋体"/>
                <w:spacing w:val="-1"/>
                <w:sz w:val="24"/>
                <w:szCs w:val="24"/>
                <w:lang w:eastAsia="zh-CN"/>
              </w:rPr>
              <w:t>信息网络安全专业人员认证（网络安全项目管理员）证书、软件测评工程师证书及个人信息保护合规审计证书（中级及以上），得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分，缺项不得分，本项最多得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keepNext w:val="0"/>
              <w:keepLines w:val="0"/>
              <w:pageBreakBefore w:val="0"/>
              <w:widowControl w:val="0"/>
              <w:kinsoku/>
              <w:wordWrap/>
              <w:overflowPunct/>
              <w:topLinePunct w:val="0"/>
              <w:autoSpaceDE/>
              <w:autoSpaceDN/>
              <w:bidi w:val="0"/>
              <w:adjustRightInd/>
              <w:spacing w:line="0" w:lineRule="atLeast"/>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2）拟派的质量控制经理具有高级测评师证书，同时具有注册信息安全专业人员（CISP）、国家重要信息系统保护人员培训证书（C</w:t>
            </w:r>
            <w:r>
              <w:rPr>
                <w:rFonts w:ascii="宋体" w:hAnsi="宋体" w:eastAsia="宋体" w:cs="宋体"/>
                <w:spacing w:val="-1"/>
                <w:sz w:val="24"/>
                <w:szCs w:val="24"/>
                <w:lang w:eastAsia="zh-CN"/>
              </w:rPr>
              <w:t>IIP-I</w:t>
            </w:r>
            <w:r>
              <w:rPr>
                <w:rFonts w:hint="eastAsia" w:ascii="宋体" w:hAnsi="宋体" w:eastAsia="宋体" w:cs="宋体"/>
                <w:spacing w:val="-1"/>
                <w:sz w:val="24"/>
                <w:szCs w:val="24"/>
                <w:lang w:eastAsia="zh-CN"/>
              </w:rPr>
              <w:t>证书）和信息安全保障人员认证证书，得</w:t>
            </w: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lang w:eastAsia="zh-CN"/>
              </w:rPr>
              <w:t>分，缺项不得分，本项最多得</w:t>
            </w: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lang w:eastAsia="zh-CN"/>
              </w:rPr>
              <w:t>分；</w:t>
            </w:r>
          </w:p>
          <w:p>
            <w:pPr>
              <w:pStyle w:val="2"/>
              <w:keepNext w:val="0"/>
              <w:keepLines w:val="0"/>
              <w:pageBreakBefore w:val="0"/>
              <w:widowControl w:val="0"/>
              <w:kinsoku/>
              <w:wordWrap/>
              <w:overflowPunct/>
              <w:topLinePunct w:val="0"/>
              <w:autoSpaceDE/>
              <w:autoSpaceDN/>
              <w:bidi w:val="0"/>
              <w:adjustRightInd/>
              <w:spacing w:after="0" w:line="0" w:lineRule="atLeast"/>
              <w:ind w:firstLine="0" w:firstLineChars="0"/>
              <w:rPr>
                <w:lang w:eastAsia="zh-CN"/>
              </w:rPr>
            </w:pPr>
            <w:r>
              <w:rPr>
                <w:rFonts w:hint="eastAsia" w:ascii="宋体" w:hAnsi="宋体" w:eastAsia="宋体" w:cs="宋体"/>
                <w:spacing w:val="-1"/>
                <w:sz w:val="24"/>
                <w:szCs w:val="24"/>
                <w:lang w:eastAsia="zh-CN"/>
              </w:rPr>
              <w:t>3）为本项目配备培训讲师具有高级测评师证书，注册信息安全从业人员证书（</w:t>
            </w:r>
            <w:r>
              <w:rPr>
                <w:rFonts w:ascii="宋体" w:hAnsi="宋体" w:eastAsia="宋体" w:cs="宋体"/>
                <w:spacing w:val="-1"/>
                <w:sz w:val="24"/>
                <w:szCs w:val="24"/>
                <w:lang w:eastAsia="zh-CN"/>
              </w:rPr>
              <w:t>CISP</w:t>
            </w:r>
            <w:r>
              <w:rPr>
                <w:rFonts w:hint="eastAsia" w:ascii="宋体" w:hAnsi="宋体" w:eastAsia="宋体" w:cs="宋体"/>
                <w:spacing w:val="-1"/>
                <w:sz w:val="24"/>
                <w:szCs w:val="24"/>
                <w:lang w:eastAsia="zh-CN"/>
              </w:rPr>
              <w:t>）、国家重要信息系统安全等级保护培训证书（</w:t>
            </w:r>
            <w:r>
              <w:rPr>
                <w:rFonts w:ascii="宋体" w:hAnsi="宋体" w:eastAsia="宋体" w:cs="宋体"/>
                <w:spacing w:val="-1"/>
                <w:sz w:val="24"/>
                <w:szCs w:val="24"/>
                <w:lang w:eastAsia="zh-CN"/>
              </w:rPr>
              <w:t>CIIP-T</w:t>
            </w:r>
            <w:r>
              <w:rPr>
                <w:rFonts w:hint="eastAsia" w:ascii="宋体" w:hAnsi="宋体" w:eastAsia="宋体" w:cs="宋体"/>
                <w:spacing w:val="-1"/>
                <w:sz w:val="24"/>
                <w:szCs w:val="24"/>
                <w:lang w:eastAsia="zh-CN"/>
              </w:rPr>
              <w:t>证书）得</w:t>
            </w: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lang w:eastAsia="zh-CN"/>
              </w:rPr>
              <w:t>分，缺项不得分，本项最多得</w:t>
            </w:r>
            <w:r>
              <w:rPr>
                <w:rFonts w:hint="eastAsia" w:ascii="宋体" w:hAnsi="宋体" w:eastAsia="宋体" w:cs="宋体"/>
                <w:spacing w:val="-1"/>
                <w:sz w:val="24"/>
                <w:szCs w:val="24"/>
                <w:lang w:val="en-US" w:eastAsia="zh-CN"/>
              </w:rPr>
              <w:t>2</w:t>
            </w:r>
            <w:r>
              <w:rPr>
                <w:rFonts w:hint="eastAsia" w:ascii="宋体" w:hAnsi="宋体" w:eastAsia="宋体" w:cs="宋体"/>
                <w:spacing w:val="-1"/>
                <w:sz w:val="24"/>
                <w:szCs w:val="24"/>
                <w:lang w:eastAsia="zh-CN"/>
              </w:rPr>
              <w:t>分；</w:t>
            </w:r>
          </w:p>
          <w:p>
            <w:pPr>
              <w:pStyle w:val="2"/>
              <w:keepNext w:val="0"/>
              <w:keepLines w:val="0"/>
              <w:pageBreakBefore w:val="0"/>
              <w:widowControl w:val="0"/>
              <w:kinsoku/>
              <w:wordWrap/>
              <w:overflowPunct/>
              <w:topLinePunct w:val="0"/>
              <w:autoSpaceDE/>
              <w:autoSpaceDN/>
              <w:bidi w:val="0"/>
              <w:adjustRightInd/>
              <w:spacing w:after="0" w:line="0" w:lineRule="atLeast"/>
              <w:ind w:firstLine="0" w:firstLineChars="0"/>
              <w:rPr>
                <w:rFonts w:ascii="宋体" w:hAnsi="宋体" w:eastAsia="宋体" w:cs="宋体"/>
                <w:spacing w:val="-1"/>
                <w:sz w:val="24"/>
                <w:szCs w:val="24"/>
                <w:lang w:eastAsia="zh-CN"/>
              </w:rPr>
            </w:pPr>
            <w:r>
              <w:rPr>
                <w:rFonts w:ascii="宋体" w:hAnsi="宋体" w:eastAsia="宋体" w:cs="宋体"/>
                <w:spacing w:val="-1"/>
                <w:sz w:val="24"/>
                <w:szCs w:val="24"/>
                <w:lang w:eastAsia="zh-CN"/>
              </w:rPr>
              <w:t>4</w:t>
            </w:r>
            <w:r>
              <w:rPr>
                <w:rFonts w:hint="eastAsia" w:ascii="宋体" w:hAnsi="宋体" w:eastAsia="宋体" w:cs="宋体"/>
                <w:spacing w:val="-1"/>
                <w:sz w:val="24"/>
                <w:szCs w:val="24"/>
                <w:lang w:eastAsia="zh-CN"/>
              </w:rPr>
              <w:t>）拟派现场测评师具有信息安全</w:t>
            </w:r>
            <w:r>
              <w:rPr>
                <w:rFonts w:ascii="宋体" w:hAnsi="宋体" w:eastAsia="宋体" w:cs="宋体"/>
                <w:spacing w:val="-1"/>
                <w:sz w:val="24"/>
                <w:szCs w:val="24"/>
                <w:lang w:eastAsia="zh-CN"/>
              </w:rPr>
              <w:t>/</w:t>
            </w:r>
            <w:r>
              <w:rPr>
                <w:rFonts w:hint="eastAsia" w:ascii="宋体" w:hAnsi="宋体" w:eastAsia="宋体" w:cs="宋体"/>
                <w:spacing w:val="-1"/>
                <w:sz w:val="24"/>
                <w:szCs w:val="24"/>
                <w:lang w:eastAsia="zh-CN"/>
              </w:rPr>
              <w:t>网络安全等级测评师证书（中级及以上），同时个人信息保护合规审计人员能力评价证书（中级及以上），每提供1人得</w:t>
            </w:r>
            <w:r>
              <w:rPr>
                <w:rFonts w:hint="eastAsia" w:ascii="宋体" w:hAnsi="宋体" w:eastAsia="宋体" w:cs="宋体"/>
                <w:spacing w:val="-1"/>
                <w:sz w:val="24"/>
                <w:szCs w:val="24"/>
                <w:lang w:val="en-US" w:eastAsia="zh-CN"/>
              </w:rPr>
              <w:t>1</w:t>
            </w:r>
            <w:r>
              <w:rPr>
                <w:rFonts w:hint="eastAsia" w:ascii="宋体" w:hAnsi="宋体" w:eastAsia="宋体" w:cs="宋体"/>
                <w:spacing w:val="-1"/>
                <w:sz w:val="24"/>
                <w:szCs w:val="24"/>
                <w:lang w:eastAsia="zh-CN"/>
              </w:rPr>
              <w:t>分，缺项不得分，本项最多得</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分。</w:t>
            </w:r>
          </w:p>
          <w:p>
            <w:pPr>
              <w:pStyle w:val="2"/>
              <w:keepNext w:val="0"/>
              <w:keepLines w:val="0"/>
              <w:pageBreakBefore w:val="0"/>
              <w:widowControl w:val="0"/>
              <w:numPr>
                <w:ilvl w:val="0"/>
                <w:numId w:val="0"/>
              </w:numPr>
              <w:kinsoku/>
              <w:wordWrap/>
              <w:overflowPunct/>
              <w:topLinePunct w:val="0"/>
              <w:autoSpaceDE/>
              <w:autoSpaceDN/>
              <w:bidi w:val="0"/>
              <w:adjustRightInd/>
              <w:spacing w:line="0" w:lineRule="atLeast"/>
              <w:ind w:leftChars="0"/>
              <w:rPr>
                <w:rFonts w:hint="default"/>
                <w:lang w:val="en-US" w:eastAsia="zh-CN"/>
              </w:rPr>
            </w:pPr>
            <w:r>
              <w:rPr>
                <w:rFonts w:hint="eastAsia" w:ascii="宋体" w:hAnsi="宋体" w:eastAsia="宋体" w:cs="宋体"/>
                <w:spacing w:val="-1"/>
                <w:sz w:val="24"/>
                <w:szCs w:val="24"/>
                <w:lang w:eastAsia="zh-CN"/>
              </w:rPr>
              <w:t>注：【以上人员不得重复，提供人员证书扫描件及供应商在近一年内为其所连续缴纳三个月的社保证明材料】。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trPr>
        <w:tc>
          <w:tcPr>
            <w:tcW w:w="0" w:type="auto"/>
            <w:vAlign w:val="center"/>
          </w:tcPr>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3</w:t>
            </w:r>
          </w:p>
        </w:tc>
        <w:tc>
          <w:tcPr>
            <w:tcW w:w="1404" w:type="dxa"/>
            <w:vAlign w:val="center"/>
          </w:tcPr>
          <w:p>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cs="宋体"/>
                <w:color w:val="000000" w:themeColor="text1"/>
                <w:sz w:val="24"/>
                <w:szCs w:val="24"/>
                <w14:textFill>
                  <w14:solidFill>
                    <w14:schemeClr w14:val="tx1"/>
                  </w14:solidFill>
                </w14:textFill>
              </w:rPr>
              <w:t>响应报价</w:t>
            </w:r>
            <w:r>
              <w:rPr>
                <w:rFonts w:hint="eastAsia" w:ascii="宋体" w:hAnsi="宋体" w:cs="宋体"/>
                <w:sz w:val="24"/>
                <w:szCs w:val="24"/>
              </w:rPr>
              <w:t>（</w:t>
            </w:r>
            <w:r>
              <w:rPr>
                <w:rFonts w:hint="eastAsia" w:ascii="宋体" w:hAnsi="宋体" w:cs="宋体"/>
                <w:sz w:val="24"/>
                <w:szCs w:val="24"/>
                <w:lang w:val="en-US" w:eastAsia="zh-CN"/>
              </w:rPr>
              <w:t>3</w:t>
            </w:r>
            <w:r>
              <w:rPr>
                <w:rFonts w:hint="eastAsia" w:ascii="宋体" w:hAnsi="宋体" w:cs="宋体"/>
                <w:sz w:val="24"/>
                <w:szCs w:val="24"/>
              </w:rPr>
              <w:t>0 分）</w:t>
            </w:r>
          </w:p>
        </w:tc>
        <w:tc>
          <w:tcPr>
            <w:tcW w:w="7149" w:type="dxa"/>
          </w:tcPr>
          <w:p>
            <w:pPr>
              <w:keepNext w:val="0"/>
              <w:keepLines w:val="0"/>
              <w:pageBreakBefore w:val="0"/>
              <w:widowControl w:val="0"/>
              <w:kinsoku/>
              <w:wordWrap/>
              <w:overflowPunct/>
              <w:topLinePunct w:val="0"/>
              <w:autoSpaceDE/>
              <w:autoSpaceDN/>
              <w:bidi w:val="0"/>
              <w:adjustRightInd/>
              <w:spacing w:line="0" w:lineRule="atLeast"/>
              <w:textAlignment w:val="auto"/>
              <w:rPr>
                <w:rFonts w:ascii="宋体" w:hAnsi="宋体" w:eastAsia="宋体" w:cs="宋体"/>
                <w:spacing w:val="-1"/>
                <w:sz w:val="24"/>
                <w:szCs w:val="24"/>
                <w:lang w:eastAsia="zh-CN"/>
              </w:rPr>
            </w:pPr>
            <w:r>
              <w:rPr>
                <w:rFonts w:hint="eastAsia" w:ascii="宋体" w:hAnsi="宋体" w:eastAsia="宋体" w:cs="宋体"/>
                <w:spacing w:val="-1"/>
                <w:sz w:val="24"/>
                <w:szCs w:val="24"/>
                <w:lang w:eastAsia="zh-CN"/>
              </w:rPr>
              <w:t>1、价格分采用低价优先法计算，即满足采购文件要求且投标价格最低的投标报价为评标基准价，其价格分为满分</w:t>
            </w:r>
            <w:r>
              <w:rPr>
                <w:rFonts w:hint="eastAsia" w:ascii="宋体" w:hAnsi="宋体" w:eastAsia="宋体" w:cs="宋体"/>
                <w:spacing w:val="-1"/>
                <w:sz w:val="24"/>
                <w:szCs w:val="24"/>
                <w:lang w:val="en-US" w:eastAsia="zh-CN"/>
              </w:rPr>
              <w:t>30</w:t>
            </w:r>
            <w:r>
              <w:rPr>
                <w:rFonts w:hint="eastAsia" w:ascii="宋体" w:hAnsi="宋体" w:eastAsia="宋体" w:cs="宋体"/>
                <w:spacing w:val="-1"/>
                <w:sz w:val="24"/>
                <w:szCs w:val="24"/>
                <w:lang w:eastAsia="zh-CN"/>
              </w:rPr>
              <w:t>分。其他供应商的价格分统一按照下列公式计算：最后报价得分=（评标基准价/最后报价）×</w:t>
            </w:r>
            <w:r>
              <w:rPr>
                <w:rFonts w:hint="eastAsia" w:ascii="宋体" w:hAnsi="宋体" w:eastAsia="宋体" w:cs="宋体"/>
                <w:spacing w:val="-1"/>
                <w:sz w:val="24"/>
                <w:szCs w:val="24"/>
                <w:lang w:val="en-US" w:eastAsia="zh-CN"/>
              </w:rPr>
              <w:t>3</w:t>
            </w:r>
            <w:r>
              <w:rPr>
                <w:rFonts w:hint="eastAsia" w:ascii="宋体" w:hAnsi="宋体" w:eastAsia="宋体" w:cs="宋体"/>
                <w:spacing w:val="-1"/>
                <w:sz w:val="24"/>
                <w:szCs w:val="24"/>
                <w:lang w:eastAsia="zh-CN"/>
              </w:rPr>
              <w:t>0；</w:t>
            </w:r>
          </w:p>
          <w:p>
            <w:pPr>
              <w:keepNext w:val="0"/>
              <w:keepLines w:val="0"/>
              <w:pageBreakBefore w:val="0"/>
              <w:widowControl w:val="0"/>
              <w:kinsoku/>
              <w:wordWrap/>
              <w:overflowPunct/>
              <w:topLinePunct w:val="0"/>
              <w:autoSpaceDE/>
              <w:autoSpaceDN/>
              <w:bidi w:val="0"/>
              <w:adjustRightInd/>
              <w:snapToGrid w:val="0"/>
              <w:spacing w:line="0" w:lineRule="atLeast"/>
              <w:textAlignment w:val="auto"/>
              <w:rPr>
                <w:rFonts w:hint="default" w:ascii="宋体" w:hAnsi="宋体" w:eastAsia="宋体" w:cs="宋体"/>
                <w:snapToGrid/>
                <w:sz w:val="24"/>
                <w:szCs w:val="24"/>
                <w:vertAlign w:val="baseline"/>
                <w:lang w:val="en-US" w:eastAsia="zh-CN"/>
              </w:rPr>
            </w:pPr>
            <w:r>
              <w:rPr>
                <w:rFonts w:hint="eastAsia" w:ascii="宋体" w:hAnsi="宋体" w:eastAsia="宋体" w:cs="宋体"/>
                <w:spacing w:val="-1"/>
                <w:sz w:val="24"/>
                <w:szCs w:val="24"/>
                <w:lang w:eastAsia="zh-CN"/>
              </w:rPr>
              <w:t>3、评审小组认定供应商的最后报价明显低于其他通过符合性审查供应商报价的，应当在评审现场合理的时间内提供书面说明，并在评审现场提交相关证明材料；供应商不能证明其报价合理性的，磋商小组将其作为无效响应处理。</w:t>
            </w:r>
          </w:p>
        </w:tc>
      </w:tr>
    </w:tbl>
    <w:p>
      <w:pPr>
        <w:widowControl/>
        <w:autoSpaceDE/>
        <w:autoSpaceDN/>
        <w:spacing w:beforeAutospacing="0" w:afterAutospacing="0" w:line="240" w:lineRule="auto"/>
        <w:ind w:left="0" w:leftChars="0" w:right="0" w:rightChars="0" w:firstLine="0" w:firstLineChars="0"/>
        <w:jc w:val="center"/>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bCs w:val="0"/>
          <w:i w:val="0"/>
          <w:snapToGrid/>
          <w:spacing w:val="0"/>
          <w:w w:val="100"/>
          <w:sz w:val="44"/>
          <w:szCs w:val="24"/>
          <w:u w:val="none"/>
          <w:lang w:val="en-US" w:eastAsia="zh-CN"/>
        </w:rPr>
      </w:pPr>
      <w:bookmarkStart w:id="3" w:name="_Toc18936"/>
      <w:r>
        <w:rPr>
          <w:rFonts w:hint="eastAsia" w:ascii="Times New Roman" w:hAnsi="方正小标宋简体" w:eastAsia="方正小标宋简体" w:cs="方正小标宋简体"/>
          <w:b w:val="0"/>
          <w:bCs w:val="0"/>
          <w:i w:val="0"/>
          <w:snapToGrid/>
          <w:spacing w:val="0"/>
          <w:w w:val="100"/>
          <w:sz w:val="44"/>
          <w:szCs w:val="24"/>
          <w:u w:val="none"/>
          <w:lang w:val="en-US" w:eastAsia="zh-CN"/>
        </w:rPr>
        <w:t>网络安全服务技术标准和要求</w:t>
      </w:r>
      <w:bookmarkEnd w:id="3"/>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shd w:val="clear" w:color="auto" w:fill="auto"/>
            <w:vAlign w:val="top"/>
          </w:tcPr>
          <w:p>
            <w:pPr>
              <w:pageBreakBefore w:val="0"/>
              <w:widowControl w:val="0"/>
              <w:numPr>
                <w:ilvl w:val="0"/>
                <w:numId w:val="0"/>
              </w:numPr>
              <w:kinsoku/>
              <w:wordWrap/>
              <w:overflowPunct/>
              <w:topLinePunct w:val="0"/>
              <w:autoSpaceDE/>
              <w:autoSpaceDN/>
              <w:bidi w:val="0"/>
              <w:adjustRightInd/>
              <w:snapToGrid w:val="0"/>
              <w:spacing w:line="0" w:lineRule="atLeast"/>
              <w:jc w:val="both"/>
              <w:textAlignment w:val="auto"/>
              <w:rPr>
                <w:rFonts w:hint="eastAsia" w:ascii="宋体" w:hAnsi="宋体" w:eastAsia="宋体" w:cs="宋体"/>
                <w:b w:val="0"/>
                <w:bCs w:val="0"/>
                <w:kern w:val="2"/>
                <w:sz w:val="24"/>
                <w:szCs w:val="24"/>
                <w:lang w:val="en-US" w:eastAsia="zh-CN" w:bidi="ar-SA"/>
              </w:rPr>
            </w:pPr>
          </w:p>
          <w:p>
            <w:pPr>
              <w:pStyle w:val="4"/>
              <w:pageBreakBefore w:val="0"/>
              <w:widowControl w:val="0"/>
              <w:kinsoku/>
              <w:wordWrap/>
              <w:overflowPunct/>
              <w:topLinePunct w:val="0"/>
              <w:autoSpaceDE/>
              <w:autoSpaceDN/>
              <w:bidi w:val="0"/>
              <w:adjustRightInd/>
              <w:spacing w:before="0" w:after="0" w:line="0" w:lineRule="atLeas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（一）测评内容</w:t>
            </w:r>
          </w:p>
          <w:p>
            <w:pPr>
              <w:pStyle w:val="4"/>
              <w:pageBreakBefore w:val="0"/>
              <w:widowControl w:val="0"/>
              <w:kinsoku/>
              <w:wordWrap/>
              <w:overflowPunct/>
              <w:topLinePunct w:val="0"/>
              <w:autoSpaceDE/>
              <w:autoSpaceDN/>
              <w:bidi w:val="0"/>
              <w:adjustRightInd/>
              <w:spacing w:before="0" w:after="0" w:line="0" w:lineRule="atLeast"/>
              <w:ind w:firstLine="472"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1.单项测评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等级保护单项测评工作可为安全技术测评和安全管理测评两大类。安全技术测评包括：安全物理环境、安全通信网络、安全区域边界、安全计算环境和安全管理中心五个层面上的安全控制测评；安全管理测评包括：安全管理制度、安全管理机构、安全管理人员、安全建设管理和安全运维管理五个方面的安全控制测评。详细内容包括：</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1.安全物理环境。安全物理环境测评应通过访谈、检查和测试的方式评测信息系统的物理安全保障情况。在内容上，物理安全层面测评实施过程应涉及物理位置选择、物理访问控制、防盗窃和防破坏、防雷击、防火、防水和防潮、防静电、温湿度控制、电力供应、电磁防护10个工作单元。</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2.安全通信网络。安全通信网络测评应通过访谈、检查和测试的方式评测信息系统的网络通信情况。在内容上，安全通信网络层面测评过程应涉及网络架构、通信传输、可信验证3个工作单元的测评。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3.安全区域边界。安全通信网络测评应通过访谈、检查和测试的方式评测信息系统的网络边界防护情况。在内容上，安全区域边界层面测评过程应涉及边界防护、访问控制、入侵防范、恶意代码和垃圾邮件防范、安全审计、可信验证6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4.安全计算环境。安全计算环境测评应通过访谈、检查和测试的方式评测信息系统的安全计算环境中主机、应用、数据的安全防护情况。在内容上，安全计算环境层面测评实施过程应涉及身份鉴别、访问控制、安全审计、入侵防范、恶意代码防范、可信验证、数据完整性、数据保密性、数据备份恢复、剩余信息保护、个人信息保护11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5.安全管理中心。安全管理中心应通过访谈、检查和测试的方式评测信息系统的综合安全管理情况。在内容上，安全管理中心实施过程应涉及系统管理、审计管理、安全管理、集中管控4个工作单元的测评。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6.安全管理制度。安全管理制度测评应通过访谈和检查的形式评测安全管理制度的制定、发布、评审和修订等情况。主要涉及安全主管人员、安全管理人员、各类其它人员、各类管理制度、各类操作规程文件等对象。在内容上，安全管理制度测评实施过程应涉及安全策略、管理制度、制定和发布、评审和修订4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7.安全管理机构。安全管理机构测评应通过访谈和检查的形式评测安全管理机构的组成情况和机构工作组织情况。主要涉及安全主管人员、安全管理人员、相关的文件资料和工作记录等对象。在内容上，安全管理机构测评实施过程应涉及岗位设置、人员配备、授权和审批、沟通与合作、审核和检查5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8.人员安全管理。人员安全管理测评应通过访谈和检查的形式评测机构人员安全控制方面的情况。主要涉及安全主管人员、人事管理人员、相关管理制度、相关工作记录等对象。在内容上，安全管理人员测评实施过程应涉及人员录用、人员离岗、安全意识教育和培训、外部人员访问管理4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9.安全建设管理。安全建设管理测评应通过访谈和检查的形式评测系统安全建设管理过程中的安全控制情况。主要涉及安全主管人员、系统建设负责人、各类管理制度、操作规程文件、执行过程记录等对象。在内容上，安全建设管理测评实施过程应涉及系统定级和备案、安全方案设计、产品采购和使用、自行软件开发、外包软件开发、工程实施、测试验收、系统交付、等级测评、服务投标人选择10个工作单元的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10.安全运维管理。安全运维管理测评应通过访谈和检查的形式评测系统安全运维管理过程中的安全控制情况。主要涉及安全主管人员、安全管理人员、各类运维人员、各类管理制度、操作规程文件、执行过程记录等对象。在内容上，安全运维管理测评实施过程应涉及环境管理、资产管理、介质管理、设备维护管理、漏洞和风险管理、网络和系统安全管理、恶意代码防范管理、配置管理、密码管理、变更管理、备份和恢复管理、安全事件处置、应急预案管理、外包运维管理14个工作单元的测评。</w:t>
            </w:r>
          </w:p>
          <w:p>
            <w:pPr>
              <w:pStyle w:val="4"/>
              <w:pageBreakBefore w:val="0"/>
              <w:widowControl w:val="0"/>
              <w:kinsoku/>
              <w:wordWrap/>
              <w:overflowPunct/>
              <w:topLinePunct w:val="0"/>
              <w:autoSpaceDE/>
              <w:autoSpaceDN/>
              <w:bidi w:val="0"/>
              <w:adjustRightInd/>
              <w:spacing w:before="0" w:after="0" w:line="0" w:lineRule="atLeast"/>
              <w:ind w:firstLine="472" w:firstLineChars="200"/>
              <w:textAlignment w:val="auto"/>
              <w:rPr>
                <w:rFonts w:hint="eastAsia" w:ascii="宋体" w:hAnsi="宋体" w:eastAsia="宋体" w:cs="宋体"/>
                <w:b w:val="0"/>
                <w:bCs w:val="0"/>
                <w:sz w:val="24"/>
                <w:szCs w:val="24"/>
              </w:rPr>
            </w:pPr>
            <w:bookmarkStart w:id="4" w:name="2.整体测评"/>
            <w:bookmarkEnd w:id="4"/>
            <w:r>
              <w:rPr>
                <w:rFonts w:hint="eastAsia" w:ascii="宋体" w:hAnsi="宋体" w:eastAsia="宋体" w:cs="宋体"/>
                <w:b w:val="0"/>
                <w:bCs w:val="0"/>
                <w:sz w:val="24"/>
                <w:szCs w:val="24"/>
              </w:rPr>
              <w:t>2.整体测评</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等级保护对象整体测评应从安全控制点、安全控制点间和区域间等方面进行测评和综合安全分析从而给出等级测评结论。整体测评包括安全控制点测评、安全控制点间测评和区域间测评。安全控制点测评是指对单个控制点中所有要求项的符合程度进行分析和判定。</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安全控制点间安全测评是指对同一区域同一类内的两个或者两个以上不同安全控制点间的关联进行测评分析，其目的是确定这些关联对等级保护对象整体安全保护能力的影响。</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区域间安全测评是指对互连互通的不同区域之间的关联进行测评分析，其目的是确定这些关联对等级保护对象整体安全保护能力的影响。</w:t>
            </w:r>
          </w:p>
          <w:p>
            <w:pPr>
              <w:pageBreakBefore w:val="0"/>
              <w:widowControl w:val="0"/>
              <w:kinsoku/>
              <w:wordWrap/>
              <w:overflowPunct/>
              <w:topLinePunct w:val="0"/>
              <w:autoSpaceDE/>
              <w:autoSpaceDN/>
              <w:bidi w:val="0"/>
              <w:adjustRightInd/>
              <w:spacing w:line="0" w:lineRule="atLeast"/>
              <w:textAlignment w:val="auto"/>
              <w:rPr>
                <w:rFonts w:hint="eastAsia" w:ascii="宋体" w:hAnsi="宋体" w:eastAsia="宋体" w:cs="宋体"/>
                <w:sz w:val="24"/>
                <w:szCs w:val="24"/>
              </w:rPr>
            </w:pPr>
            <w:bookmarkStart w:id="5" w:name="（三）项目实施原则"/>
            <w:bookmarkEnd w:id="5"/>
            <w:r>
              <w:rPr>
                <w:rFonts w:hint="eastAsia" w:ascii="宋体" w:hAnsi="宋体" w:eastAsia="宋体" w:cs="宋体"/>
                <w:sz w:val="24"/>
                <w:szCs w:val="24"/>
              </w:rPr>
              <w:t>(二)项目实施原则</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1.客观性和公正性原则。测评人员应当没有偏见，在最小主观判断情形下，按照评估双方相互认可的评估方案，基于明确定义的测评方式和解释，实施评估活动。</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2.可重复性和可再现性原则。依照同样的要求，使用同样的评估方式，对每个评估实施过程的重复执行应该得到同样的结果。可再现性和可重复性的区别在于，前者与不同评估者评估结果的一致性有关，后者与同一评估者评估结果的一致性有关。</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3.连续性原则。确保在高速变化的信息安全环境中，在有效的服务期间内，保证采购方风险评估结论的准确性和及时性，对于采购方单位新增设的信息资产和服务，或新建立的信息化项目，进行局部系统的重新评估。从经济上，降低了采购方单位的成本，从信息安全性上，保证信息安全测评的动态稳定性。</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4.扩展性原则。在评估过程结束后，信息安全测评过程要保持扩展性，从扩展的属性上进一步加强测评结束后采购方的安全管理有效性和可用性。</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5.保密原则。在测评过程中，需严格遵循保密原则，双方签订保密协议，对服务过程中涉及到的任何用户信息未经允许不向其他任何第三方泄漏，以及不得利用这些信息损害采购方利益。</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6.互动原则。在整个测评过程中，强调采购方的互动参与，每个阶段都能够及时根据采购方的要求和实际情况对测评的内容、方式做出相关调整，进而更好的进行风险评估工作。</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7.最小影响原则测评工作应该尽可能小地影响系统和网络的正常运行，不能对业务的正常运行产生明显的影响（包括系统性能明显下降、网络阻塞、服务中断等），如无法避免，则应做出说明。</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8.规范性原则。网络安全等级保护测评服务的实施必须由专业的测评服务人员依照规范的操作流程进行，对操作过程和结果要有相应的记录，并提供完整的服务报告。</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9.质量保障原则。在整个测评过程中，须特别重视项目质量管理。项目的实施将严格按照项目实施方案和流程进行，并由项目协调小组从中监督，控制项目的进度和质量。</w:t>
            </w:r>
          </w:p>
          <w:p>
            <w:pPr>
              <w:pageBreakBefore w:val="0"/>
              <w:widowControl w:val="0"/>
              <w:tabs>
                <w:tab w:val="left" w:pos="3763"/>
              </w:tabs>
              <w:kinsoku/>
              <w:wordWrap/>
              <w:overflowPunct/>
              <w:topLinePunct w:val="0"/>
              <w:autoSpaceDE/>
              <w:autoSpaceDN/>
              <w:bidi w:val="0"/>
              <w:adjustRightInd/>
              <w:spacing w:line="0" w:lineRule="atLeast"/>
              <w:textAlignment w:val="auto"/>
              <w:rPr>
                <w:rFonts w:hint="eastAsia" w:ascii="宋体" w:hAnsi="宋体" w:eastAsia="宋体" w:cs="宋体"/>
                <w:sz w:val="24"/>
                <w:szCs w:val="24"/>
              </w:rPr>
            </w:pPr>
            <w:bookmarkStart w:id="6" w:name="（四）实施要求"/>
            <w:bookmarkEnd w:id="6"/>
            <w:r>
              <w:rPr>
                <w:rFonts w:hint="eastAsia" w:ascii="宋体" w:hAnsi="宋体" w:eastAsia="宋体" w:cs="宋体"/>
                <w:sz w:val="24"/>
                <w:szCs w:val="24"/>
              </w:rPr>
              <w:t>（三）实施要求</w:t>
            </w:r>
            <w:r>
              <w:rPr>
                <w:rFonts w:hint="eastAsia" w:ascii="宋体" w:hAnsi="宋体" w:eastAsia="宋体" w:cs="宋体"/>
                <w:sz w:val="24"/>
                <w:szCs w:val="24"/>
              </w:rPr>
              <w:tab/>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本次等保测评项目不得转包或者分包，所有现场测评师必须是中标公司自己的正式在职员工，所有现场测评师必须持证上岗。根据公安部门要求，在三级系统测评过程中，高级测评师和中级测评师必须实际参与现场测评。</w:t>
            </w:r>
          </w:p>
          <w:p>
            <w:pPr>
              <w:pStyle w:val="20"/>
              <w:pageBreakBefore w:val="0"/>
              <w:widowControl w:val="0"/>
              <w:kinsoku/>
              <w:wordWrap/>
              <w:overflowPunct/>
              <w:topLinePunct w:val="0"/>
              <w:autoSpaceDE/>
              <w:autoSpaceDN/>
              <w:bidi w:val="0"/>
              <w:adjustRightInd/>
              <w:spacing w:line="0" w:lineRule="atLeast"/>
              <w:textAlignment w:val="auto"/>
              <w:outlineLvl w:val="1"/>
              <w:rPr>
                <w:rFonts w:hint="eastAsia" w:ascii="宋体" w:hAnsi="宋体" w:eastAsia="宋体" w:cs="宋体"/>
                <w:sz w:val="24"/>
                <w:szCs w:val="24"/>
              </w:rPr>
            </w:pPr>
            <w:bookmarkStart w:id="7" w:name="三、测评项目细则"/>
            <w:bookmarkEnd w:id="7"/>
            <w:r>
              <w:rPr>
                <w:rFonts w:hint="eastAsia" w:ascii="宋体" w:hAnsi="宋体" w:eastAsia="宋体" w:cs="宋体"/>
                <w:sz w:val="24"/>
                <w:szCs w:val="24"/>
              </w:rPr>
              <w:t>（四）测评项目细则</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bookmarkStart w:id="8" w:name="（一）测评目的"/>
            <w:bookmarkEnd w:id="8"/>
            <w:r>
              <w:rPr>
                <w:rFonts w:hint="eastAsia" w:ascii="宋体" w:hAnsi="宋体" w:eastAsia="宋体" w:cs="宋体"/>
                <w:sz w:val="24"/>
                <w:szCs w:val="24"/>
              </w:rPr>
              <w:t>（一）测评目的通过信息系统安全等级测评找出信息系统在信息安全方面与国家标准要求之间的差距，为信息系统安全建设和管理提供系统性、针对性、可行性的指导和服务；从而有效地控制信息安全建设成本，提高信息系统安全建设的整体水平，保障信息安全与信息化建设相协调。</w:t>
            </w:r>
          </w:p>
          <w:p>
            <w:pPr>
              <w:pStyle w:val="5"/>
              <w:pageBreakBefore w:val="0"/>
              <w:widowControl w:val="0"/>
              <w:kinsoku/>
              <w:wordWrap/>
              <w:overflowPunct/>
              <w:topLinePunct w:val="0"/>
              <w:autoSpaceDE/>
              <w:autoSpaceDN/>
              <w:bidi w:val="0"/>
              <w:adjustRightInd/>
              <w:spacing w:line="0" w:lineRule="atLeast"/>
              <w:ind w:right="335" w:firstLine="472" w:firstLineChars="200"/>
              <w:textAlignment w:val="auto"/>
              <w:rPr>
                <w:rFonts w:hint="eastAsia" w:ascii="宋体" w:hAnsi="宋体" w:eastAsia="宋体" w:cs="宋体"/>
                <w:sz w:val="24"/>
                <w:szCs w:val="24"/>
              </w:rPr>
            </w:pPr>
            <w:bookmarkStart w:id="9" w:name="（二）测评依据"/>
            <w:bookmarkEnd w:id="9"/>
            <w:r>
              <w:rPr>
                <w:rFonts w:hint="eastAsia" w:ascii="宋体" w:hAnsi="宋体" w:eastAsia="宋体" w:cs="宋体"/>
                <w:sz w:val="24"/>
                <w:szCs w:val="24"/>
              </w:rPr>
              <w:t>（二）测评依据本项目实施过程中包括的所有设备、技术手段应遵照下列标准和规范进行测评。所采用的标准和规范应为合同期间的最新有效版本。</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《中华人民共和国网络安全法》（2017年6月1日正式施行）</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《中华人民共和国计算机信息系统安全保护条例》（GB17859-1999）</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《信息安全等级保护管理办法》（公通字[2007]43号）</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网络安全等级保护安全设计技术要求》（GB/T25070-2019）</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网络安全等级保护实施指南》（GB/T25058-2019）</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网络安全保护等级保护基本要求》（GB/T22239-2019）</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网络安全等级保护测评要求》（GB/T28448-2019）</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r>
              <w:rPr>
                <w:rFonts w:hint="eastAsia" w:ascii="宋体" w:hAnsi="宋体" w:eastAsia="宋体" w:cs="宋体"/>
                <w:sz w:val="24"/>
                <w:szCs w:val="24"/>
              </w:rPr>
              <w:t>《信息安全技术 网络安全等级保护测评过程指南》（GB/T28449-2018）等</w:t>
            </w:r>
          </w:p>
          <w:p>
            <w:pPr>
              <w:pStyle w:val="5"/>
              <w:pageBreakBefore w:val="0"/>
              <w:widowControl w:val="0"/>
              <w:kinsoku/>
              <w:wordWrap/>
              <w:overflowPunct/>
              <w:topLinePunct w:val="0"/>
              <w:autoSpaceDE/>
              <w:autoSpaceDN/>
              <w:bidi w:val="0"/>
              <w:adjustRightInd/>
              <w:spacing w:line="0" w:lineRule="atLeast"/>
              <w:ind w:left="220" w:right="335" w:firstLine="420"/>
              <w:textAlignment w:val="auto"/>
              <w:rPr>
                <w:rFonts w:hint="eastAsia" w:ascii="宋体" w:hAnsi="宋体" w:eastAsia="宋体" w:cs="宋体"/>
                <w:sz w:val="24"/>
                <w:szCs w:val="24"/>
              </w:rPr>
            </w:pPr>
            <w:bookmarkStart w:id="10" w:name="（三）测评流程"/>
            <w:bookmarkEnd w:id="10"/>
            <w:r>
              <w:rPr>
                <w:rFonts w:hint="eastAsia" w:ascii="宋体" w:hAnsi="宋体" w:eastAsia="宋体" w:cs="宋体"/>
                <w:sz w:val="24"/>
                <w:szCs w:val="24"/>
              </w:rPr>
              <w:t>（三）测评流程本次等级测评工作包括测评准备过程、方案编制过程、测评实施过程、分析与报告编制过程等四个阶段。</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r>
              <w:rPr>
                <w:rFonts w:hint="eastAsia" w:ascii="宋体" w:hAnsi="宋体" w:eastAsia="宋体" w:cs="宋体"/>
                <w:sz w:val="24"/>
                <w:szCs w:val="24"/>
              </w:rPr>
              <w:t>1.项目各阶段的测评过程文档编制</w:t>
            </w:r>
          </w:p>
          <w:p>
            <w:pPr>
              <w:pStyle w:val="5"/>
              <w:pageBreakBefore w:val="0"/>
              <w:widowControl w:val="0"/>
              <w:kinsoku/>
              <w:wordWrap/>
              <w:overflowPunct/>
              <w:topLinePunct w:val="0"/>
              <w:autoSpaceDE/>
              <w:autoSpaceDN/>
              <w:bidi w:val="0"/>
              <w:adjustRightInd/>
              <w:spacing w:line="0" w:lineRule="atLeast"/>
              <w:ind w:left="780"/>
              <w:textAlignment w:val="auto"/>
              <w:rPr>
                <w:rFonts w:hint="eastAsia" w:ascii="宋体" w:hAnsi="宋体" w:eastAsia="宋体" w:cs="宋体"/>
                <w:sz w:val="24"/>
                <w:szCs w:val="24"/>
              </w:rPr>
            </w:pPr>
            <w:r>
              <w:rPr>
                <w:rFonts w:hint="eastAsia" w:ascii="宋体" w:hAnsi="宋体" w:eastAsia="宋体" w:cs="宋体"/>
                <w:sz w:val="24"/>
                <w:szCs w:val="24"/>
              </w:rPr>
              <w:t>（1）项目阶段及过程文档详见下表（包括但不限于）：</w:t>
            </w:r>
          </w:p>
          <w:p>
            <w:pPr>
              <w:pStyle w:val="5"/>
              <w:pageBreakBefore w:val="0"/>
              <w:widowControl w:val="0"/>
              <w:kinsoku/>
              <w:wordWrap/>
              <w:overflowPunct/>
              <w:topLinePunct w:val="0"/>
              <w:autoSpaceDE/>
              <w:autoSpaceDN/>
              <w:bidi w:val="0"/>
              <w:adjustRightInd/>
              <w:spacing w:line="0" w:lineRule="atLeast"/>
              <w:ind w:left="780"/>
              <w:textAlignment w:val="auto"/>
              <w:rPr>
                <w:rFonts w:hint="eastAsia" w:ascii="宋体" w:hAnsi="宋体" w:eastAsia="宋体" w:cs="宋体"/>
                <w:sz w:val="24"/>
                <w:szCs w:val="24"/>
              </w:rPr>
            </w:pPr>
          </w:p>
          <w:p>
            <w:pPr>
              <w:pStyle w:val="5"/>
              <w:pageBreakBefore w:val="0"/>
              <w:widowControl w:val="0"/>
              <w:kinsoku/>
              <w:wordWrap/>
              <w:overflowPunct/>
              <w:topLinePunct w:val="0"/>
              <w:autoSpaceDE/>
              <w:autoSpaceDN/>
              <w:bidi w:val="0"/>
              <w:adjustRightInd/>
              <w:spacing w:line="0" w:lineRule="atLeast"/>
              <w:ind w:left="780"/>
              <w:textAlignment w:val="auto"/>
              <w:rPr>
                <w:rFonts w:hint="eastAsia" w:ascii="宋体" w:hAnsi="宋体" w:eastAsia="宋体" w:cs="宋体"/>
                <w:sz w:val="24"/>
                <w:szCs w:val="24"/>
              </w:rPr>
            </w:pPr>
          </w:p>
          <w:p>
            <w:pPr>
              <w:pStyle w:val="5"/>
              <w:pageBreakBefore w:val="0"/>
              <w:widowControl w:val="0"/>
              <w:kinsoku/>
              <w:wordWrap/>
              <w:overflowPunct/>
              <w:topLinePunct w:val="0"/>
              <w:autoSpaceDE/>
              <w:autoSpaceDN/>
              <w:bidi w:val="0"/>
              <w:adjustRightInd/>
              <w:spacing w:line="0" w:lineRule="atLeast"/>
              <w:ind w:left="780"/>
              <w:textAlignment w:val="auto"/>
              <w:rPr>
                <w:rFonts w:hint="eastAsia" w:ascii="宋体" w:hAnsi="宋体" w:eastAsia="宋体" w:cs="宋体"/>
                <w:sz w:val="24"/>
                <w:szCs w:val="24"/>
              </w:rPr>
            </w:pPr>
          </w:p>
          <w:tbl>
            <w:tblPr>
              <w:tblStyle w:val="22"/>
              <w:tblW w:w="8784"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1"/>
              <w:gridCol w:w="5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exact"/>
              </w:trPr>
              <w:tc>
                <w:tcPr>
                  <w:tcW w:w="3281" w:type="dxa"/>
                  <w:shd w:val="clear" w:color="auto" w:fill="BDBDBD"/>
                  <w:vAlign w:val="center"/>
                </w:tcPr>
                <w:p>
                  <w:pPr>
                    <w:pStyle w:val="21"/>
                    <w:pageBreakBefore w:val="0"/>
                    <w:widowControl w:val="0"/>
                    <w:kinsoku/>
                    <w:wordWrap/>
                    <w:overflowPunct/>
                    <w:topLinePunct w:val="0"/>
                    <w:autoSpaceDE/>
                    <w:autoSpaceDN/>
                    <w:bidi w:val="0"/>
                    <w:adjustRightInd/>
                    <w:spacing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项目阶段</w:t>
                  </w:r>
                </w:p>
              </w:tc>
              <w:tc>
                <w:tcPr>
                  <w:tcW w:w="5503" w:type="dxa"/>
                  <w:shd w:val="clear" w:color="auto" w:fill="BDBDBD"/>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交付成果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3" w:hRule="exact"/>
              </w:trPr>
              <w:tc>
                <w:tcPr>
                  <w:tcW w:w="3281" w:type="dxa"/>
                  <w:vAlign w:val="center"/>
                </w:tcPr>
                <w:p>
                  <w:pPr>
                    <w:pStyle w:val="21"/>
                    <w:pageBreakBefore w:val="0"/>
                    <w:widowControl w:val="0"/>
                    <w:kinsoku/>
                    <w:wordWrap/>
                    <w:overflowPunct/>
                    <w:topLinePunct w:val="0"/>
                    <w:autoSpaceDE/>
                    <w:autoSpaceDN/>
                    <w:bidi w:val="0"/>
                    <w:adjustRightInd/>
                    <w:spacing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测评准备活动</w:t>
                  </w:r>
                </w:p>
              </w:tc>
              <w:tc>
                <w:tcPr>
                  <w:tcW w:w="5503" w:type="dxa"/>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《项目计划书》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exact"/>
              </w:trPr>
              <w:tc>
                <w:tcPr>
                  <w:tcW w:w="3281" w:type="dxa"/>
                  <w:vAlign w:val="center"/>
                </w:tcPr>
                <w:p>
                  <w:pPr>
                    <w:pStyle w:val="21"/>
                    <w:pageBreakBefore w:val="0"/>
                    <w:widowControl w:val="0"/>
                    <w:kinsoku/>
                    <w:wordWrap/>
                    <w:overflowPunct/>
                    <w:topLinePunct w:val="0"/>
                    <w:autoSpaceDE/>
                    <w:autoSpaceDN/>
                    <w:bidi w:val="0"/>
                    <w:adjustRightInd/>
                    <w:spacing w:before="168"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方案编制活动</w:t>
                  </w:r>
                </w:p>
              </w:tc>
              <w:tc>
                <w:tcPr>
                  <w:tcW w:w="5503" w:type="dxa"/>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《测评指导书》、《信息系统安全测评方案》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exact"/>
              </w:trPr>
              <w:tc>
                <w:tcPr>
                  <w:tcW w:w="3281" w:type="dxa"/>
                  <w:vAlign w:val="center"/>
                </w:tcPr>
                <w:p>
                  <w:pPr>
                    <w:pStyle w:val="21"/>
                    <w:pageBreakBefore w:val="0"/>
                    <w:widowControl w:val="0"/>
                    <w:kinsoku/>
                    <w:wordWrap/>
                    <w:overflowPunct/>
                    <w:topLinePunct w:val="0"/>
                    <w:autoSpaceDE/>
                    <w:autoSpaceDN/>
                    <w:bidi w:val="0"/>
                    <w:adjustRightInd/>
                    <w:spacing w:before="169"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现场测评活动</w:t>
                  </w:r>
                </w:p>
              </w:tc>
              <w:tc>
                <w:tcPr>
                  <w:tcW w:w="5503" w:type="dxa"/>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《测评结果记录》、《测评中发现的问题汇总》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exact"/>
              </w:trPr>
              <w:tc>
                <w:tcPr>
                  <w:tcW w:w="3281" w:type="dxa"/>
                  <w:shd w:val="clear" w:color="auto" w:fill="BDBDBD"/>
                  <w:vAlign w:val="center"/>
                </w:tcPr>
                <w:p>
                  <w:pPr>
                    <w:pStyle w:val="21"/>
                    <w:pageBreakBefore w:val="0"/>
                    <w:widowControl w:val="0"/>
                    <w:kinsoku/>
                    <w:wordWrap/>
                    <w:overflowPunct/>
                    <w:topLinePunct w:val="0"/>
                    <w:autoSpaceDE/>
                    <w:autoSpaceDN/>
                    <w:bidi w:val="0"/>
                    <w:adjustRightInd/>
                    <w:spacing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项目阶段</w:t>
                  </w:r>
                </w:p>
              </w:tc>
              <w:tc>
                <w:tcPr>
                  <w:tcW w:w="5503" w:type="dxa"/>
                  <w:shd w:val="clear" w:color="auto" w:fill="BDBDBD"/>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交付成果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7" w:hRule="atLeast"/>
              </w:trPr>
              <w:tc>
                <w:tcPr>
                  <w:tcW w:w="3281" w:type="dxa"/>
                  <w:vAlign w:val="center"/>
                </w:tcPr>
                <w:p>
                  <w:pPr>
                    <w:pStyle w:val="21"/>
                    <w:pageBreakBefore w:val="0"/>
                    <w:widowControl w:val="0"/>
                    <w:kinsoku/>
                    <w:wordWrap/>
                    <w:overflowPunct/>
                    <w:topLinePunct w:val="0"/>
                    <w:autoSpaceDE/>
                    <w:autoSpaceDN/>
                    <w:bidi w:val="0"/>
                    <w:adjustRightInd/>
                    <w:spacing w:before="37" w:line="0" w:lineRule="atLeast"/>
                    <w:ind w:left="522"/>
                    <w:textAlignment w:val="auto"/>
                    <w:rPr>
                      <w:rFonts w:hint="eastAsia" w:ascii="宋体" w:hAnsi="宋体" w:eastAsia="宋体" w:cs="宋体"/>
                      <w:sz w:val="24"/>
                      <w:szCs w:val="24"/>
                    </w:rPr>
                  </w:pPr>
                  <w:r>
                    <w:rPr>
                      <w:rFonts w:hint="eastAsia" w:ascii="宋体" w:hAnsi="宋体" w:eastAsia="宋体" w:cs="宋体"/>
                      <w:sz w:val="24"/>
                      <w:szCs w:val="24"/>
                    </w:rPr>
                    <w:t>分析与报告编制活动</w:t>
                  </w:r>
                </w:p>
              </w:tc>
              <w:tc>
                <w:tcPr>
                  <w:tcW w:w="5503" w:type="dxa"/>
                  <w:vAlign w:val="center"/>
                </w:tcPr>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《单项测评结果汇总分析》</w:t>
                  </w:r>
                </w:p>
                <w:p>
                  <w:pPr>
                    <w:pStyle w:val="21"/>
                    <w:pageBreakBefore w:val="0"/>
                    <w:widowControl w:val="0"/>
                    <w:kinsoku/>
                    <w:wordWrap/>
                    <w:overflowPunct/>
                    <w:topLinePunct w:val="0"/>
                    <w:autoSpaceDE/>
                    <w:autoSpaceDN/>
                    <w:bidi w:val="0"/>
                    <w:adjustRightInd/>
                    <w:spacing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《整体测评结果汇总分析》</w:t>
                  </w:r>
                </w:p>
                <w:p>
                  <w:pPr>
                    <w:pStyle w:val="21"/>
                    <w:pageBreakBefore w:val="0"/>
                    <w:widowControl w:val="0"/>
                    <w:kinsoku/>
                    <w:wordWrap/>
                    <w:overflowPunct/>
                    <w:topLinePunct w:val="0"/>
                    <w:autoSpaceDE/>
                    <w:autoSpaceDN/>
                    <w:bidi w:val="0"/>
                    <w:adjustRightInd/>
                    <w:spacing w:before="34"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《渗透测试报告》</w:t>
                  </w:r>
                </w:p>
                <w:p>
                  <w:pPr>
                    <w:pStyle w:val="21"/>
                    <w:pageBreakBefore w:val="0"/>
                    <w:widowControl w:val="0"/>
                    <w:kinsoku/>
                    <w:wordWrap/>
                    <w:overflowPunct/>
                    <w:topLinePunct w:val="0"/>
                    <w:autoSpaceDE/>
                    <w:autoSpaceDN/>
                    <w:bidi w:val="0"/>
                    <w:adjustRightInd/>
                    <w:spacing w:before="34"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《风险分析和评估》</w:t>
                  </w:r>
                </w:p>
                <w:p>
                  <w:pPr>
                    <w:pStyle w:val="21"/>
                    <w:pageBreakBefore w:val="0"/>
                    <w:widowControl w:val="0"/>
                    <w:kinsoku/>
                    <w:wordWrap/>
                    <w:overflowPunct/>
                    <w:topLinePunct w:val="0"/>
                    <w:autoSpaceDE/>
                    <w:autoSpaceDN/>
                    <w:bidi w:val="0"/>
                    <w:adjustRightInd/>
                    <w:spacing w:before="35" w:line="0" w:lineRule="atLeast"/>
                    <w:ind w:left="521"/>
                    <w:textAlignment w:val="auto"/>
                    <w:rPr>
                      <w:rFonts w:hint="eastAsia" w:ascii="宋体" w:hAnsi="宋体" w:eastAsia="宋体" w:cs="宋体"/>
                      <w:sz w:val="24"/>
                      <w:szCs w:val="24"/>
                    </w:rPr>
                  </w:pPr>
                  <w:r>
                    <w:rPr>
                      <w:rFonts w:hint="eastAsia" w:ascii="宋体" w:hAnsi="宋体" w:eastAsia="宋体" w:cs="宋体"/>
                      <w:sz w:val="24"/>
                      <w:szCs w:val="24"/>
                    </w:rPr>
                    <w:t>《信息系统安全等级测评报告》</w:t>
                  </w:r>
                </w:p>
              </w:tc>
            </w:tr>
          </w:tbl>
          <w:p>
            <w:pPr>
              <w:pageBreakBefore w:val="0"/>
              <w:widowControl w:val="0"/>
              <w:kinsoku/>
              <w:wordWrap/>
              <w:overflowPunct/>
              <w:topLinePunct w:val="0"/>
              <w:autoSpaceDE/>
              <w:autoSpaceDN/>
              <w:bidi w:val="0"/>
              <w:adjustRightInd/>
              <w:spacing w:line="0" w:lineRule="atLeast"/>
              <w:ind w:left="360"/>
              <w:textAlignment w:val="auto"/>
              <w:rPr>
                <w:rFonts w:hint="eastAsia" w:ascii="宋体" w:hAnsi="宋体" w:eastAsia="宋体" w:cs="宋体"/>
                <w:sz w:val="24"/>
                <w:szCs w:val="24"/>
              </w:rPr>
            </w:pPr>
            <w:r>
              <w:rPr>
                <w:rFonts w:hint="eastAsia" w:ascii="宋体" w:hAnsi="宋体" w:eastAsia="宋体" w:cs="宋体"/>
                <w:sz w:val="24"/>
                <w:szCs w:val="24"/>
              </w:rPr>
              <w:t>（2）安全等级测评整改技术方案可根据整改和规划内容的重要性和复杂程度采用分册方式编写。</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bookmarkStart w:id="11" w:name="（四）服务管理要求"/>
            <w:bookmarkEnd w:id="11"/>
            <w:r>
              <w:rPr>
                <w:rFonts w:hint="eastAsia" w:ascii="宋体" w:hAnsi="宋体" w:eastAsia="宋体" w:cs="宋体"/>
                <w:sz w:val="24"/>
                <w:szCs w:val="24"/>
              </w:rPr>
              <w:t>（四）服务管理要求</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r>
              <w:rPr>
                <w:rFonts w:hint="eastAsia" w:ascii="宋体" w:hAnsi="宋体" w:eastAsia="宋体" w:cs="宋体"/>
                <w:sz w:val="24"/>
                <w:szCs w:val="24"/>
              </w:rPr>
              <w:t>1.乙方负责派服务人员的人事管理。</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r>
              <w:rPr>
                <w:rFonts w:hint="eastAsia" w:ascii="宋体" w:hAnsi="宋体" w:eastAsia="宋体" w:cs="宋体"/>
                <w:sz w:val="24"/>
                <w:szCs w:val="24"/>
              </w:rPr>
              <w:t>2.乙方要设立项目负责人，制定适合服务工作特点的详细工作服务流程与方案，制定对服务人员的考核办法。</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r>
              <w:rPr>
                <w:rFonts w:hint="eastAsia" w:ascii="宋体" w:hAnsi="宋体" w:eastAsia="宋体" w:cs="宋体"/>
                <w:sz w:val="24"/>
                <w:szCs w:val="24"/>
              </w:rPr>
              <w:t>3.乙方要加强对服务人员的管理与培训。</w:t>
            </w:r>
          </w:p>
          <w:p>
            <w:pPr>
              <w:pageBreakBefore w:val="0"/>
              <w:widowControl w:val="0"/>
              <w:kinsoku/>
              <w:wordWrap/>
              <w:overflowPunct/>
              <w:topLinePunct w:val="0"/>
              <w:autoSpaceDE/>
              <w:autoSpaceDN/>
              <w:bidi w:val="0"/>
              <w:adjustRightInd/>
              <w:spacing w:line="0" w:lineRule="atLeast"/>
              <w:ind w:left="780" w:hanging="420"/>
              <w:textAlignment w:val="auto"/>
              <w:rPr>
                <w:rFonts w:hint="eastAsia" w:ascii="宋体" w:hAnsi="宋体" w:eastAsia="宋体" w:cs="宋体"/>
                <w:sz w:val="24"/>
                <w:szCs w:val="24"/>
              </w:rPr>
            </w:pPr>
            <w:r>
              <w:rPr>
                <w:rFonts w:hint="eastAsia" w:ascii="宋体" w:hAnsi="宋体" w:eastAsia="宋体" w:cs="宋体"/>
                <w:sz w:val="24"/>
                <w:szCs w:val="24"/>
              </w:rPr>
              <w:t>4.乙方要遵守采购人的劳动考勤纪律及其它相关规章制度，接受采购人的工作安排与指导，做好本职工作。</w:t>
            </w:r>
          </w:p>
          <w:p>
            <w:pPr>
              <w:pStyle w:val="20"/>
              <w:pageBreakBefore w:val="0"/>
              <w:widowControl w:val="0"/>
              <w:kinsoku/>
              <w:wordWrap/>
              <w:overflowPunct/>
              <w:topLinePunct w:val="0"/>
              <w:autoSpaceDE/>
              <w:autoSpaceDN/>
              <w:bidi w:val="0"/>
              <w:adjustRightInd/>
              <w:spacing w:line="0" w:lineRule="atLeast"/>
              <w:textAlignment w:val="auto"/>
              <w:outlineLvl w:val="1"/>
              <w:rPr>
                <w:rFonts w:hint="eastAsia" w:ascii="宋体" w:hAnsi="宋体" w:eastAsia="宋体" w:cs="宋体"/>
                <w:sz w:val="24"/>
                <w:szCs w:val="24"/>
              </w:rPr>
            </w:pPr>
            <w:bookmarkStart w:id="12" w:name="四、项目交付成果"/>
            <w:bookmarkEnd w:id="12"/>
            <w:r>
              <w:rPr>
                <w:rFonts w:hint="eastAsia" w:ascii="宋体" w:hAnsi="宋体" w:eastAsia="宋体" w:cs="宋体"/>
                <w:sz w:val="24"/>
                <w:szCs w:val="24"/>
              </w:rPr>
              <w:t>（五）、项目交付成果</w:t>
            </w:r>
          </w:p>
          <w:p>
            <w:pPr>
              <w:pageBreakBefore w:val="0"/>
              <w:widowControl w:val="0"/>
              <w:kinsoku/>
              <w:wordWrap/>
              <w:overflowPunct/>
              <w:topLinePunct w:val="0"/>
              <w:autoSpaceDE/>
              <w:autoSpaceDN/>
              <w:bidi w:val="0"/>
              <w:adjustRightInd/>
              <w:spacing w:line="0" w:lineRule="atLeast"/>
              <w:ind w:firstLine="472" w:firstLineChars="200"/>
              <w:textAlignment w:val="auto"/>
              <w:rPr>
                <w:rFonts w:hint="eastAsia" w:ascii="宋体" w:hAnsi="宋体" w:eastAsia="宋体" w:cs="宋体"/>
                <w:sz w:val="24"/>
                <w:szCs w:val="24"/>
              </w:rPr>
            </w:pPr>
            <w:r>
              <w:rPr>
                <w:rFonts w:hint="eastAsia" w:ascii="宋体" w:hAnsi="宋体" w:eastAsia="宋体" w:cs="宋体"/>
                <w:sz w:val="24"/>
                <w:szCs w:val="24"/>
              </w:rPr>
              <w:t>1.项目验收时，需提交的交付成果包含但不限于：《项目计划书》《信息系统安全测评方案》《测评中发现的问题汇总》《网络安全等级测评报告》《网络安全等级测评整改建议》《XX系统渗透测试报告》《信息系统安全等级测评报告》公安网安部门颁发的《备案证明》。</w:t>
            </w:r>
          </w:p>
          <w:p>
            <w:pPr>
              <w:pageBreakBefore w:val="0"/>
              <w:widowControl w:val="0"/>
              <w:kinsoku/>
              <w:wordWrap/>
              <w:overflowPunct/>
              <w:topLinePunct w:val="0"/>
              <w:autoSpaceDE/>
              <w:autoSpaceDN/>
              <w:bidi w:val="0"/>
              <w:adjustRightInd/>
              <w:spacing w:line="0" w:lineRule="atLeast"/>
              <w:textAlignment w:val="auto"/>
              <w:rPr>
                <w:rFonts w:hint="eastAsia" w:ascii="宋体" w:hAnsi="宋体" w:eastAsia="宋体" w:cs="宋体"/>
                <w:sz w:val="24"/>
                <w:szCs w:val="24"/>
              </w:rPr>
            </w:pPr>
            <w:r>
              <w:rPr>
                <w:rFonts w:hint="eastAsia" w:ascii="宋体" w:hAnsi="宋体" w:eastAsia="宋体" w:cs="宋体"/>
                <w:sz w:val="24"/>
                <w:szCs w:val="24"/>
              </w:rPr>
              <w:t>2.采购方将对成交供应商的项目交付成果进行评价，成交供应商应根据采购方的评价意见对项目交付成果进行修改。</w:t>
            </w:r>
          </w:p>
          <w:p>
            <w:pPr>
              <w:pageBreakBefore w:val="0"/>
              <w:widowControl w:val="0"/>
              <w:kinsoku/>
              <w:wordWrap/>
              <w:overflowPunct/>
              <w:topLinePunct w:val="0"/>
              <w:autoSpaceDE/>
              <w:autoSpaceDN/>
              <w:bidi w:val="0"/>
              <w:adjustRightInd/>
              <w:spacing w:line="0" w:lineRule="atLeast"/>
              <w:textAlignment w:val="auto"/>
              <w:rPr>
                <w:rFonts w:hint="eastAsia" w:ascii="宋体" w:hAnsi="宋体" w:eastAsia="宋体" w:cs="宋体"/>
                <w:sz w:val="24"/>
                <w:szCs w:val="24"/>
              </w:rPr>
            </w:pPr>
            <w:r>
              <w:rPr>
                <w:rFonts w:hint="eastAsia" w:ascii="宋体" w:hAnsi="宋体" w:eastAsia="宋体" w:cs="宋体"/>
                <w:sz w:val="24"/>
                <w:szCs w:val="24"/>
              </w:rPr>
              <w:t>3.当因成交供应商原因严重影响采购方业务系统正常运转，采购方对交付结果有否决权。</w:t>
            </w:r>
          </w:p>
          <w:p>
            <w:pPr>
              <w:pageBreakBefore w:val="0"/>
              <w:widowControl w:val="0"/>
              <w:numPr>
                <w:ilvl w:val="0"/>
                <w:numId w:val="0"/>
              </w:numPr>
              <w:kinsoku/>
              <w:wordWrap/>
              <w:overflowPunct/>
              <w:topLinePunct w:val="0"/>
              <w:autoSpaceDE/>
              <w:autoSpaceDN/>
              <w:bidi w:val="0"/>
              <w:adjustRightInd/>
              <w:snapToGrid w:val="0"/>
              <w:spacing w:line="0" w:lineRule="atLeast"/>
              <w:jc w:val="both"/>
              <w:textAlignment w:val="auto"/>
              <w:rPr>
                <w:rFonts w:hint="eastAsia" w:ascii="宋体" w:hAnsi="宋体" w:eastAsia="宋体" w:cs="宋体"/>
                <w:b w:val="0"/>
                <w:bCs w:val="0"/>
                <w:kern w:val="2"/>
                <w:sz w:val="24"/>
                <w:szCs w:val="24"/>
                <w:lang w:val="en-US" w:eastAsia="zh-CN" w:bidi="ar-SA"/>
              </w:rPr>
            </w:pPr>
          </w:p>
        </w:tc>
      </w:tr>
    </w:tbl>
    <w:p>
      <w:pPr>
        <w:widowControl/>
        <w:autoSpaceDE/>
        <w:autoSpaceDN/>
        <w:snapToGrid w:val="0"/>
        <w:spacing w:beforeAutospacing="0" w:afterAutospacing="0" w:line="240" w:lineRule="auto"/>
        <w:ind w:left="0" w:leftChars="0" w:right="0" w:rightChars="0" w:firstLine="0" w:firstLineChars="0"/>
        <w:jc w:val="both"/>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eastAsia="zh-CN"/>
        </w:rPr>
      </w:pPr>
      <w:bookmarkStart w:id="13" w:name="_Toc17312"/>
      <w:r>
        <w:rPr>
          <w:rFonts w:hint="eastAsia" w:ascii="Times New Roman" w:hAnsi="方正小标宋简体" w:eastAsia="方正小标宋简体" w:cs="方正小标宋简体"/>
          <w:b w:val="0"/>
          <w:i w:val="0"/>
          <w:snapToGrid/>
          <w:spacing w:val="0"/>
          <w:w w:val="100"/>
          <w:sz w:val="44"/>
          <w:szCs w:val="24"/>
          <w:u w:val="none"/>
        </w:rPr>
        <w:t>投标文件</w:t>
      </w:r>
      <w:r>
        <w:rPr>
          <w:rFonts w:hint="eastAsia" w:ascii="Times New Roman" w:hAnsi="方正小标宋简体" w:eastAsia="方正小标宋简体" w:cs="方正小标宋简体"/>
          <w:b w:val="0"/>
          <w:i w:val="0"/>
          <w:snapToGrid/>
          <w:spacing w:val="0"/>
          <w:w w:val="100"/>
          <w:sz w:val="44"/>
          <w:szCs w:val="24"/>
          <w:u w:val="none"/>
          <w:lang w:val="en-US" w:eastAsia="zh-CN"/>
        </w:rPr>
        <w:t>目录</w:t>
      </w:r>
      <w:bookmarkEnd w:id="13"/>
    </w:p>
    <w:p>
      <w:pPr>
        <w:numPr>
          <w:ilvl w:val="0"/>
          <w:numId w:val="3"/>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4" w:name="_Toc17774"/>
      <w:bookmarkStart w:id="15" w:name="_Toc21264"/>
      <w:r>
        <w:rPr>
          <w:rFonts w:hint="eastAsia" w:ascii="Times New Roman" w:hAnsi="仿宋_GB2312" w:eastAsia="仿宋_GB2312" w:cs="仿宋_GB2312"/>
          <w:b w:val="0"/>
          <w:i w:val="0"/>
          <w:snapToGrid/>
          <w:spacing w:val="0"/>
          <w:w w:val="100"/>
          <w:sz w:val="32"/>
          <w:szCs w:val="24"/>
          <w:u w:val="none"/>
          <w:lang w:val="en-US" w:eastAsia="zh-CN"/>
        </w:rPr>
        <w:t>附录</w:t>
      </w:r>
      <w:bookmarkEnd w:id="14"/>
      <w:bookmarkEnd w:id="15"/>
    </w:p>
    <w:p>
      <w:pPr>
        <w:numPr>
          <w:ilvl w:val="0"/>
          <w:numId w:val="3"/>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6" w:name="_Toc16844"/>
      <w:bookmarkStart w:id="17" w:name="_Toc2997"/>
      <w:r>
        <w:rPr>
          <w:rFonts w:hint="eastAsia" w:ascii="Times New Roman" w:hAnsi="仿宋_GB2312" w:eastAsia="仿宋_GB2312" w:cs="仿宋_GB2312"/>
          <w:b w:val="0"/>
          <w:i w:val="0"/>
          <w:snapToGrid/>
          <w:spacing w:val="0"/>
          <w:w w:val="100"/>
          <w:sz w:val="32"/>
          <w:szCs w:val="24"/>
          <w:u w:val="none"/>
          <w:lang w:val="en-US" w:eastAsia="zh-CN"/>
        </w:rPr>
        <w:t>附有法定代表人身份证明书的授权委托书</w:t>
      </w:r>
      <w:bookmarkEnd w:id="16"/>
      <w:bookmarkEnd w:id="17"/>
    </w:p>
    <w:p>
      <w:pPr>
        <w:numPr>
          <w:ilvl w:val="0"/>
          <w:numId w:val="3"/>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8" w:name="_Toc22617"/>
      <w:bookmarkStart w:id="19" w:name="_Toc28830"/>
      <w:r>
        <w:rPr>
          <w:rFonts w:hint="eastAsia" w:ascii="Times New Roman" w:hAnsi="仿宋_GB2312" w:eastAsia="仿宋_GB2312" w:cs="仿宋_GB2312"/>
          <w:b w:val="0"/>
          <w:i w:val="0"/>
          <w:snapToGrid/>
          <w:spacing w:val="0"/>
          <w:w w:val="100"/>
          <w:sz w:val="32"/>
          <w:szCs w:val="24"/>
          <w:u w:val="none"/>
          <w:lang w:val="en-US" w:eastAsia="zh-CN"/>
        </w:rPr>
        <w:t>反商业贿赂承诺书</w:t>
      </w:r>
      <w:bookmarkEnd w:id="18"/>
      <w:bookmarkEnd w:id="19"/>
    </w:p>
    <w:p>
      <w:pPr>
        <w:numPr>
          <w:ilvl w:val="0"/>
          <w:numId w:val="3"/>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20" w:name="_Toc19555"/>
      <w:bookmarkStart w:id="21" w:name="_Toc11671"/>
      <w:r>
        <w:rPr>
          <w:rFonts w:hint="eastAsia" w:ascii="Times New Roman" w:hAnsi="仿宋_GB2312" w:eastAsia="仿宋_GB2312" w:cs="仿宋_GB2312"/>
          <w:b w:val="0"/>
          <w:i w:val="0"/>
          <w:snapToGrid/>
          <w:spacing w:val="0"/>
          <w:w w:val="100"/>
          <w:sz w:val="32"/>
          <w:szCs w:val="24"/>
          <w:u w:val="none"/>
          <w:lang w:val="en-US" w:eastAsia="zh-CN"/>
        </w:rPr>
        <w:t>技术部分</w:t>
      </w:r>
      <w:bookmarkEnd w:id="20"/>
      <w:bookmarkEnd w:id="21"/>
    </w:p>
    <w:p>
      <w:pPr>
        <w:numPr>
          <w:ilvl w:val="0"/>
          <w:numId w:val="3"/>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22" w:name="_Toc26966"/>
      <w:bookmarkStart w:id="23" w:name="_Toc15059"/>
      <w:r>
        <w:rPr>
          <w:rFonts w:hint="eastAsia" w:ascii="Times New Roman" w:hAnsi="仿宋_GB2312" w:eastAsia="仿宋_GB2312" w:cs="仿宋_GB2312"/>
          <w:b w:val="0"/>
          <w:i w:val="0"/>
          <w:snapToGrid/>
          <w:spacing w:val="0"/>
          <w:w w:val="100"/>
          <w:sz w:val="32"/>
          <w:szCs w:val="24"/>
          <w:u w:val="none"/>
          <w:lang w:val="en-US" w:eastAsia="zh-CN"/>
        </w:rPr>
        <w:t>资格审查资料</w:t>
      </w:r>
      <w:bookmarkEnd w:id="22"/>
      <w:bookmarkEnd w:id="23"/>
    </w:p>
    <w:p>
      <w:pPr>
        <w:numPr>
          <w:ilvl w:val="0"/>
          <w:numId w:val="4"/>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供应商基本情况表；</w:t>
      </w:r>
    </w:p>
    <w:p>
      <w:pPr>
        <w:numPr>
          <w:ilvl w:val="0"/>
          <w:numId w:val="4"/>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资格证明文件；</w:t>
      </w:r>
    </w:p>
    <w:p>
      <w:pPr>
        <w:numPr>
          <w:ilvl w:val="0"/>
          <w:numId w:val="4"/>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pPr>
        <w:numPr>
          <w:ilvl w:val="0"/>
          <w:numId w:val="3"/>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24" w:name="_Toc21114"/>
      <w:bookmarkStart w:id="25" w:name="_Toc9558"/>
      <w:r>
        <w:rPr>
          <w:rFonts w:hint="eastAsia" w:ascii="Times New Roman" w:hAnsi="仿宋_GB2312" w:eastAsia="仿宋_GB2312" w:cs="仿宋_GB2312"/>
          <w:b w:val="0"/>
          <w:i w:val="0"/>
          <w:snapToGrid/>
          <w:spacing w:val="0"/>
          <w:w w:val="100"/>
          <w:sz w:val="32"/>
          <w:szCs w:val="24"/>
          <w:u w:val="none"/>
          <w:lang w:val="en-US" w:eastAsia="zh-CN"/>
        </w:rPr>
        <w:t>商务部分</w:t>
      </w:r>
      <w:bookmarkEnd w:id="24"/>
      <w:bookmarkEnd w:id="25"/>
    </w:p>
    <w:p>
      <w:pPr>
        <w:numPr>
          <w:ilvl w:val="0"/>
          <w:numId w:val="5"/>
        </w:numPr>
        <w:ind w:left="631"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业绩；</w:t>
      </w:r>
    </w:p>
    <w:p>
      <w:pPr>
        <w:numPr>
          <w:ilvl w:val="0"/>
          <w:numId w:val="5"/>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供货时间；</w:t>
      </w:r>
    </w:p>
    <w:p>
      <w:pPr>
        <w:numPr>
          <w:ilvl w:val="0"/>
          <w:numId w:val="5"/>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pPr>
        <w:numPr>
          <w:ilvl w:val="0"/>
          <w:numId w:val="3"/>
        </w:numPr>
        <w:ind w:left="0" w:leftChars="0" w:firstLine="0" w:firstLineChars="0"/>
        <w:jc w:val="both"/>
        <w:outlineLvl w:val="0"/>
        <w:rPr>
          <w:rFonts w:hint="default" w:ascii="Times New Roman" w:hAnsi="仿宋_GB2312" w:eastAsia="仿宋_GB2312" w:cs="仿宋_GB2312"/>
          <w:b w:val="0"/>
          <w:i w:val="0"/>
          <w:snapToGrid/>
          <w:spacing w:val="0"/>
          <w:w w:val="100"/>
          <w:sz w:val="32"/>
          <w:szCs w:val="24"/>
          <w:u w:val="none"/>
          <w:lang w:val="en-US" w:eastAsia="zh-CN"/>
        </w:rPr>
      </w:pPr>
      <w:bookmarkStart w:id="26" w:name="_Toc5510"/>
      <w:bookmarkStart w:id="27" w:name="_Toc21268"/>
      <w:r>
        <w:rPr>
          <w:rFonts w:hint="eastAsia" w:ascii="Times New Roman" w:hAnsi="仿宋_GB2312" w:eastAsia="仿宋_GB2312" w:cs="仿宋_GB2312"/>
          <w:b w:val="0"/>
          <w:i w:val="0"/>
          <w:snapToGrid/>
          <w:spacing w:val="0"/>
          <w:w w:val="100"/>
          <w:sz w:val="32"/>
          <w:szCs w:val="24"/>
          <w:u w:val="none"/>
          <w:lang w:val="en-US" w:eastAsia="zh-CN"/>
        </w:rPr>
        <w:t>供应商认为有必要提供的其他材料</w:t>
      </w:r>
      <w:bookmarkEnd w:id="26"/>
      <w:bookmarkEnd w:id="27"/>
    </w:p>
    <w:p>
      <w:pPr>
        <w:numPr>
          <w:ilvl w:val="0"/>
          <w:numId w:val="0"/>
        </w:numPr>
        <w:ind w:left="473" w:leftChars="0"/>
        <w:jc w:val="both"/>
        <w:rPr>
          <w:rFonts w:hint="default" w:ascii="Times New Roman" w:hAnsi="仿宋_GB2312" w:eastAsia="仿宋_GB2312" w:cs="仿宋_GB2312"/>
          <w:b w:val="0"/>
          <w:i w:val="0"/>
          <w:snapToGrid/>
          <w:spacing w:val="0"/>
          <w:w w:val="100"/>
          <w:sz w:val="32"/>
          <w:szCs w:val="24"/>
          <w:u w:val="none"/>
          <w:lang w:val="en-US" w:eastAsia="zh-CN"/>
        </w:rPr>
      </w:pPr>
    </w:p>
    <w:p>
      <w:pPr>
        <w:numPr>
          <w:ilvl w:val="0"/>
          <w:numId w:val="0"/>
        </w:numPr>
        <w:jc w:val="center"/>
        <w:outlineLvl w:val="0"/>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bookmarkStart w:id="28" w:name="_Toc21927"/>
      <w:r>
        <w:rPr>
          <w:rFonts w:hint="eastAsia" w:ascii="Times New Roman" w:hAnsi="仿宋_GB2312" w:eastAsia="仿宋_GB2312" w:cs="仿宋_GB2312"/>
          <w:b w:val="0"/>
          <w:i w:val="0"/>
          <w:snapToGrid/>
          <w:spacing w:val="0"/>
          <w:w w:val="100"/>
          <w:sz w:val="32"/>
          <w:szCs w:val="24"/>
          <w:u w:val="none"/>
          <w:lang w:val="en-US" w:eastAsia="zh-CN"/>
        </w:rPr>
        <w:t>一、附录（参考模板）</w:t>
      </w:r>
      <w:bookmarkEnd w:id="28"/>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3"/>
        <w:gridCol w:w="6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项目名称</w:t>
            </w:r>
          </w:p>
        </w:tc>
        <w:tc>
          <w:tcPr>
            <w:tcW w:w="6748"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供应商</w:t>
            </w:r>
          </w:p>
        </w:tc>
        <w:tc>
          <w:tcPr>
            <w:tcW w:w="6748"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采购内容</w:t>
            </w:r>
          </w:p>
        </w:tc>
        <w:tc>
          <w:tcPr>
            <w:tcW w:w="6748"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第一次投标总报价(单位：元)</w:t>
            </w:r>
          </w:p>
        </w:tc>
        <w:tc>
          <w:tcPr>
            <w:tcW w:w="6748" w:type="dxa"/>
            <w:vAlign w:val="center"/>
          </w:tcPr>
          <w:p>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大写：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p>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小写：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2313"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第二次投标总报价(单位：元)</w:t>
            </w:r>
          </w:p>
        </w:tc>
        <w:tc>
          <w:tcPr>
            <w:tcW w:w="6748" w:type="dxa"/>
            <w:vAlign w:val="center"/>
          </w:tcPr>
          <w:p>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p>
          <w:p>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大写：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p>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小写：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r>
              <w:rPr>
                <w:rFonts w:hint="eastAsia" w:ascii="Times New Roman" w:hAnsi="仿宋_GB2312" w:eastAsia="仿宋_GB2312" w:cs="仿宋_GB2312"/>
                <w:b w:val="0"/>
                <w:i w:val="0"/>
                <w:snapToGrid/>
                <w:spacing w:val="0"/>
                <w:w w:val="100"/>
                <w:sz w:val="32"/>
                <w:szCs w:val="24"/>
                <w:u w:val="single"/>
                <w:vertAlign w:val="baseline"/>
                <w:lang w:val="en-US" w:eastAsia="zh-CN"/>
              </w:rPr>
              <w:br w:type="textWrapping"/>
            </w:r>
            <w:r>
              <w:rPr>
                <w:rFonts w:hint="eastAsia" w:ascii="Times New Roman" w:hAnsi="仿宋_GB2312" w:eastAsia="仿宋_GB2312" w:cs="仿宋_GB2312"/>
                <w:b w:val="0"/>
                <w:i w:val="0"/>
                <w:snapToGrid/>
                <w:spacing w:val="0"/>
                <w:w w:val="100"/>
                <w:sz w:val="32"/>
                <w:szCs w:val="24"/>
                <w:u w:val="none"/>
                <w:vertAlign w:val="baseline"/>
                <w:lang w:val="en-US" w:eastAsia="zh-CN"/>
              </w:rPr>
              <w:t xml:space="preserve">   **第二轮报价现场手写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建设周期</w:t>
            </w:r>
          </w:p>
        </w:tc>
        <w:tc>
          <w:tcPr>
            <w:tcW w:w="6748"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r>
              <w:rPr>
                <w:rFonts w:hint="eastAsia" w:ascii="Times New Roman" w:hAnsi="仿宋_GB2312" w:eastAsia="仿宋_GB2312" w:cs="仿宋_GB2312"/>
                <w:b w:val="0"/>
                <w:i w:val="0"/>
                <w:snapToGrid/>
                <w:spacing w:val="0"/>
                <w:w w:val="100"/>
                <w:sz w:val="32"/>
                <w:szCs w:val="24"/>
                <w:u w:val="none"/>
                <w:vertAlign w:val="baseline"/>
                <w:lang w:val="en-US"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质量要求</w:t>
            </w:r>
          </w:p>
        </w:tc>
        <w:tc>
          <w:tcPr>
            <w:tcW w:w="6748"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其它</w:t>
            </w:r>
          </w:p>
        </w:tc>
        <w:tc>
          <w:tcPr>
            <w:tcW w:w="6748" w:type="dxa"/>
            <w:vAlign w:val="center"/>
          </w:tcPr>
          <w:p>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bl>
    <w:p>
      <w:pPr>
        <w:rPr>
          <w:rFonts w:hint="eastAsia" w:ascii="Times New Roman" w:hAnsi="仿宋_GB2312" w:eastAsia="仿宋_GB2312" w:cs="仿宋_GB2312"/>
          <w:b w:val="0"/>
          <w:i w:val="0"/>
          <w:snapToGrid/>
          <w:spacing w:val="0"/>
          <w:w w:val="100"/>
          <w:sz w:val="32"/>
          <w:szCs w:val="24"/>
          <w:u w:val="none"/>
          <w:lang w:val="en-US" w:eastAsia="zh-CN"/>
        </w:rPr>
      </w:pPr>
    </w:p>
    <w:p>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供应商（盖章）：</w:t>
      </w:r>
    </w:p>
    <w:p>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法定代表人：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（签字或盖章）</w:t>
      </w:r>
    </w:p>
    <w:p>
      <w:pPr>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委托代理人：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w:t>
      </w:r>
    </w:p>
    <w:p>
      <w:pPr>
        <w:rPr>
          <w:rFonts w:hint="eastAsia" w:ascii="Times New Roman" w:hAnsi="仿宋_GB2312" w:eastAsia="仿宋_GB2312" w:cs="仿宋_GB2312"/>
          <w:b w:val="0"/>
          <w:i w:val="0"/>
          <w:snapToGrid/>
          <w:spacing w:val="0"/>
          <w:w w:val="100"/>
          <w:sz w:val="32"/>
          <w:szCs w:val="24"/>
          <w:u w:val="none"/>
          <w:lang w:val="en-US" w:eastAsia="zh-CN"/>
        </w:rPr>
      </w:pPr>
    </w:p>
    <w:p>
      <w:pPr>
        <w:jc w:val="right"/>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日期：</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年</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月</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日</w:t>
      </w:r>
    </w:p>
    <w:p>
      <w:pPr>
        <w:rPr>
          <w:rFonts w:hint="eastAsia" w:ascii="Times New Roman" w:hAnsi="仿宋_GB2312" w:eastAsia="仿宋_GB2312" w:cs="仿宋_GB2312"/>
          <w:b w:val="0"/>
          <w:i w:val="0"/>
          <w:snapToGrid/>
          <w:spacing w:val="0"/>
          <w:w w:val="100"/>
          <w:sz w:val="32"/>
          <w:szCs w:val="24"/>
          <w:u w:val="none"/>
          <w:lang w:val="en-US" w:eastAsia="zh-CN"/>
        </w:rPr>
      </w:pPr>
    </w:p>
    <w:p>
      <w:pPr>
        <w:pStyle w:val="2"/>
        <w:rPr>
          <w:rFonts w:hint="eastAsia" w:ascii="Times New Roman" w:eastAsia="仿宋_GB2312"/>
          <w:lang w:eastAsia="zh-CN"/>
        </w:rPr>
      </w:pPr>
    </w:p>
    <w:p>
      <w:pPr>
        <w:pStyle w:val="2"/>
        <w:rPr>
          <w:rFonts w:hint="eastAsia" w:ascii="Times New Roman" w:eastAsia="仿宋_GB2312"/>
          <w:lang w:eastAsia="zh-CN"/>
        </w:rPr>
      </w:pPr>
    </w:p>
    <w:p>
      <w:pPr>
        <w:widowControl/>
        <w:adjustRightInd w:val="0"/>
        <w:snapToGrid w:val="0"/>
        <w:jc w:val="center"/>
        <w:outlineLvl w:val="0"/>
        <w:rPr>
          <w:rFonts w:hint="eastAsia" w:ascii="方正小标宋_GBK" w:hAnsi="方正小标宋_GBK" w:eastAsia="方正小标宋_GBK" w:cs="方正小标宋_GBK"/>
          <w:sz w:val="44"/>
          <w:szCs w:val="32"/>
        </w:rPr>
      </w:pPr>
      <w:bookmarkStart w:id="29" w:name="_Toc17254"/>
      <w:bookmarkStart w:id="30" w:name="_Toc26784"/>
      <w:r>
        <w:rPr>
          <w:rFonts w:hint="eastAsia" w:ascii="方正小标宋_GBK" w:hAnsi="方正小标宋_GBK" w:eastAsia="方正小标宋_GBK" w:cs="方正小标宋_GBK"/>
          <w:sz w:val="44"/>
          <w:szCs w:val="32"/>
        </w:rPr>
        <w:t>法定代表人身份证明书</w:t>
      </w:r>
      <w:bookmarkEnd w:id="29"/>
      <w:bookmarkEnd w:id="30"/>
    </w:p>
    <w:p>
      <w:pPr>
        <w:widowControl/>
        <w:ind w:firstLine="632" w:firstLineChars="200"/>
        <w:rPr>
          <w:rFonts w:ascii="Times New Roman" w:eastAsia="仿宋_GB2312"/>
        </w:rPr>
      </w:pPr>
    </w:p>
    <w:p>
      <w:pPr>
        <w:widowControl/>
        <w:ind w:firstLine="632" w:firstLineChars="200"/>
        <w:rPr>
          <w:rFonts w:ascii="Times New Roman" w:eastAsia="仿宋_GB2312"/>
        </w:rPr>
      </w:pPr>
      <w:r>
        <w:rPr>
          <w:rFonts w:hint="eastAsia" w:ascii="Times New Roman" w:eastAsia="仿宋_GB2312"/>
        </w:rPr>
        <w:t>姓    名：</w:t>
      </w:r>
      <w:r>
        <w:rPr>
          <w:rFonts w:hint="eastAsia" w:ascii="Times New Roman" w:eastAsia="仿宋_GB2312"/>
          <w:u w:val="single"/>
        </w:rPr>
        <w:t xml:space="preserve">          </w:t>
      </w:r>
      <w:r>
        <w:rPr>
          <w:rFonts w:hint="eastAsia" w:ascii="Times New Roman" w:eastAsia="仿宋_GB2312"/>
        </w:rPr>
        <w:t>身份证号码：</w:t>
      </w:r>
      <w:r>
        <w:rPr>
          <w:rFonts w:hint="eastAsia" w:ascii="Times New Roman" w:eastAsia="仿宋_GB2312"/>
          <w:u w:val="single"/>
        </w:rPr>
        <w:t xml:space="preserve">                    </w:t>
      </w:r>
    </w:p>
    <w:p>
      <w:pPr>
        <w:widowControl/>
        <w:rPr>
          <w:rFonts w:ascii="Times New Roman" w:eastAsia="仿宋_GB2312"/>
        </w:rPr>
      </w:pPr>
      <w:r>
        <w:rPr>
          <w:rFonts w:hint="eastAsia" w:ascii="Times New Roman" w:eastAsia="仿宋_GB2312"/>
        </w:rPr>
        <w:t>系</w:t>
      </w:r>
      <w:r>
        <w:rPr>
          <w:rFonts w:hint="eastAsia" w:ascii="Times New Roman" w:eastAsia="仿宋_GB2312"/>
          <w:u w:val="single"/>
        </w:rPr>
        <w:t xml:space="preserve">               （投标人名称）            </w:t>
      </w:r>
      <w:r>
        <w:rPr>
          <w:rFonts w:hint="eastAsia" w:ascii="Times New Roman" w:eastAsia="仿宋_GB2312"/>
        </w:rPr>
        <w:t>的法定代表人。</w:t>
      </w:r>
    </w:p>
    <w:p>
      <w:pPr>
        <w:widowControl/>
        <w:ind w:firstLine="632" w:firstLineChars="200"/>
        <w:rPr>
          <w:rFonts w:ascii="Times New Roman" w:eastAsia="仿宋_GB2312"/>
        </w:rPr>
      </w:pPr>
    </w:p>
    <w:p>
      <w:pPr>
        <w:widowControl/>
        <w:ind w:firstLine="632" w:firstLineChars="200"/>
        <w:rPr>
          <w:rFonts w:ascii="Times New Roman" w:eastAsia="仿宋_GB2312"/>
        </w:rPr>
      </w:pPr>
      <w:r>
        <w:rPr>
          <w:rFonts w:hint="eastAsia" w:ascii="Times New Roman" w:eastAsia="仿宋_GB2312"/>
        </w:rPr>
        <w:t>特此证明。</w:t>
      </w:r>
    </w:p>
    <w:p>
      <w:pPr>
        <w:widowControl/>
        <w:ind w:firstLine="632" w:firstLineChars="200"/>
        <w:rPr>
          <w:rFonts w:ascii="Times New Roman" w:eastAsia="仿宋_GB2312"/>
        </w:rPr>
      </w:pPr>
    </w:p>
    <w:p>
      <w:pPr>
        <w:widowControl/>
        <w:ind w:firstLine="632" w:firstLineChars="200"/>
        <w:rPr>
          <w:rFonts w:ascii="Times New Roman" w:eastAsia="仿宋_GB2312"/>
        </w:rPr>
      </w:pPr>
      <w:r>
        <w:rPr>
          <w:rFonts w:hint="eastAsia" w:ascii="Times New Roman" w:eastAsia="仿宋_GB2312"/>
        </w:rPr>
        <w:t>投标人：                                   （盖章）</w:t>
      </w:r>
    </w:p>
    <w:p>
      <w:pPr>
        <w:pStyle w:val="6"/>
        <w:widowControl/>
        <w:ind w:firstLine="632" w:firstLineChars="200"/>
        <w:rPr>
          <w:rFonts w:ascii="Times New Roman" w:eastAsia="仿宋_GB2312"/>
        </w:rPr>
      </w:pPr>
    </w:p>
    <w:p>
      <w:pPr>
        <w:pStyle w:val="6"/>
        <w:widowControl/>
        <w:jc w:val="center"/>
        <w:rPr>
          <w:rFonts w:ascii="Times New Roman" w:eastAsia="楷体_GB2312"/>
        </w:rPr>
      </w:pPr>
      <w:r>
        <w:rPr>
          <w:rFonts w:hint="eastAsia" w:ascii="Times New Roman" w:eastAsia="仿宋_GB2312"/>
        </w:rPr>
        <w:t xml:space="preserve">                                       </w:t>
      </w:r>
      <w:r>
        <w:rPr>
          <w:rFonts w:hint="eastAsia" w:ascii="Times New Roman" w:eastAsia="楷体_GB2312"/>
        </w:rPr>
        <w:t>年   月   日</w:t>
      </w:r>
    </w:p>
    <w:p>
      <w:pPr>
        <w:pStyle w:val="6"/>
        <w:widowControl/>
        <w:ind w:firstLine="632" w:firstLineChars="200"/>
        <w:rPr>
          <w:rFonts w:ascii="Times New Roman" w:eastAsia="仿宋_GB2312"/>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trPr>
        <w:tc>
          <w:tcPr>
            <w:tcW w:w="5000" w:type="pct"/>
            <w:vAlign w:val="center"/>
          </w:tcPr>
          <w:p>
            <w:pPr>
              <w:adjustRightInd w:val="0"/>
              <w:snapToGrid w:val="0"/>
              <w:spacing w:before="295" w:beforeLines="50" w:after="295" w:afterLines="50" w:line="360" w:lineRule="auto"/>
              <w:jc w:val="center"/>
              <w:rPr>
                <w:rFonts w:ascii="宋体" w:hAnsi="宋体"/>
                <w:b/>
                <w:szCs w:val="32"/>
              </w:rPr>
            </w:pPr>
            <w:r>
              <w:rPr>
                <w:rFonts w:hint="eastAsia" w:ascii="宋体" w:hAnsi="宋体"/>
                <w:b/>
                <w:sz w:val="28"/>
                <w:szCs w:val="28"/>
              </w:rPr>
              <w:t>（附法定代表人身份证正反面）</w:t>
            </w:r>
          </w:p>
        </w:tc>
      </w:tr>
    </w:tbl>
    <w:p>
      <w:pPr>
        <w:widowControl/>
        <w:ind w:firstLine="632" w:firstLineChars="200"/>
        <w:rPr>
          <w:rFonts w:hAnsi="宋体" w:eastAsia="仿宋_GB2312"/>
          <w:szCs w:val="32"/>
        </w:rPr>
      </w:pPr>
      <w:r>
        <w:rPr>
          <w:rFonts w:ascii="Times New Roman" w:hAnsi="宋体" w:eastAsia="仿宋_GB2312"/>
          <w:szCs w:val="32"/>
        </w:rPr>
        <w:br w:type="page"/>
      </w:r>
    </w:p>
    <w:p>
      <w:pPr>
        <w:adjustRightInd w:val="0"/>
        <w:snapToGrid w:val="0"/>
        <w:jc w:val="center"/>
        <w:outlineLvl w:val="0"/>
        <w:rPr>
          <w:rFonts w:hint="eastAsia" w:ascii="方正小标宋_GBK" w:hAnsi="方正小标宋_GBK" w:eastAsia="方正小标宋_GBK" w:cs="方正小标宋_GBK"/>
          <w:sz w:val="44"/>
          <w:szCs w:val="32"/>
        </w:rPr>
      </w:pPr>
      <w:bookmarkStart w:id="31" w:name="_Toc16794"/>
      <w:bookmarkStart w:id="32" w:name="_Toc17087"/>
      <w:r>
        <w:rPr>
          <w:rFonts w:hint="eastAsia" w:ascii="方正小标宋_GBK" w:hAnsi="方正小标宋_GBK" w:eastAsia="方正小标宋_GBK" w:cs="方正小标宋_GBK"/>
          <w:sz w:val="44"/>
          <w:szCs w:val="32"/>
        </w:rPr>
        <w:t>法定代表人授权委托书</w:t>
      </w:r>
      <w:bookmarkEnd w:id="31"/>
      <w:bookmarkEnd w:id="32"/>
    </w:p>
    <w:p>
      <w:pPr>
        <w:widowControl/>
        <w:tabs>
          <w:tab w:val="left" w:pos="420"/>
        </w:tabs>
        <w:rPr>
          <w:rFonts w:hAnsi="宋体" w:eastAsia="仿宋_GB2312"/>
          <w:szCs w:val="24"/>
        </w:rPr>
      </w:pPr>
    </w:p>
    <w:p>
      <w:pPr>
        <w:widowControl/>
        <w:tabs>
          <w:tab w:val="left" w:pos="420"/>
        </w:tabs>
        <w:rPr>
          <w:rFonts w:ascii="Times New Roman" w:hAnsi="宋体" w:eastAsia="仿宋_GB2312"/>
          <w:szCs w:val="24"/>
        </w:rPr>
      </w:pPr>
      <w:r>
        <w:rPr>
          <w:rFonts w:hint="eastAsia" w:ascii="Times New Roman" w:hAnsi="宋体" w:eastAsia="仿宋_GB2312"/>
          <w:szCs w:val="24"/>
        </w:rPr>
        <w:t>致</w:t>
      </w:r>
      <w:r>
        <w:rPr>
          <w:rFonts w:hint="eastAsia" w:hAnsi="宋体" w:eastAsia="仿宋_GB2312"/>
          <w:szCs w:val="24"/>
        </w:rPr>
        <w:t>中牟县中医院</w:t>
      </w:r>
      <w:r>
        <w:rPr>
          <w:rFonts w:hint="eastAsia" w:ascii="Times New Roman" w:hAnsi="宋体" w:eastAsia="仿宋_GB2312"/>
          <w:szCs w:val="24"/>
        </w:rPr>
        <w:t>：</w:t>
      </w:r>
    </w:p>
    <w:p>
      <w:pPr>
        <w:widowControl/>
        <w:ind w:firstLine="632" w:firstLineChars="200"/>
        <w:rPr>
          <w:rFonts w:ascii="Times New Roman" w:hAnsi="宋体" w:eastAsia="仿宋_GB2312"/>
          <w:szCs w:val="24"/>
        </w:rPr>
      </w:pPr>
      <w:r>
        <w:rPr>
          <w:rFonts w:hint="eastAsia" w:ascii="Times New Roman" w:eastAsia="仿宋_GB2312"/>
          <w:u w:val="single"/>
        </w:rPr>
        <w:t xml:space="preserve">        （投标人名称）          </w:t>
      </w:r>
      <w:r>
        <w:rPr>
          <w:rFonts w:hint="eastAsia" w:ascii="Times New Roman" w:hAnsi="宋体" w:eastAsia="仿宋_GB2312"/>
          <w:szCs w:val="24"/>
        </w:rPr>
        <w:t>法定代表人（</w:t>
      </w:r>
      <w:r>
        <w:rPr>
          <w:rFonts w:hint="eastAsia" w:ascii="Times New Roman" w:eastAsia="仿宋_GB2312"/>
          <w:u w:val="single"/>
        </w:rPr>
        <w:t xml:space="preserve">     </w:t>
      </w:r>
      <w:r>
        <w:rPr>
          <w:rFonts w:hint="eastAsia" w:ascii="Times New Roman" w:hAnsi="宋体" w:eastAsia="仿宋_GB2312"/>
          <w:szCs w:val="24"/>
          <w:u w:val="single"/>
        </w:rPr>
        <w:t>姓名、职务</w:t>
      </w:r>
      <w:r>
        <w:rPr>
          <w:rFonts w:hint="eastAsia" w:ascii="Times New Roman" w:eastAsia="仿宋_GB2312"/>
          <w:u w:val="single"/>
        </w:rPr>
        <w:t xml:space="preserve">     </w:t>
      </w:r>
      <w:r>
        <w:rPr>
          <w:rFonts w:hint="eastAsia" w:ascii="Times New Roman" w:hAnsi="宋体" w:eastAsia="仿宋_GB2312"/>
          <w:szCs w:val="24"/>
        </w:rPr>
        <w:t>）授权</w:t>
      </w:r>
      <w:r>
        <w:rPr>
          <w:rFonts w:hint="eastAsia" w:ascii="Times New Roman" w:eastAsia="仿宋_GB2312"/>
          <w:u w:val="single"/>
        </w:rPr>
        <w:t xml:space="preserve">    </w:t>
      </w:r>
      <w:r>
        <w:rPr>
          <w:rFonts w:hint="eastAsia" w:ascii="Times New Roman" w:hAnsi="宋体" w:eastAsia="仿宋_GB2312"/>
          <w:szCs w:val="24"/>
          <w:u w:val="single"/>
        </w:rPr>
        <w:t>授权代表姓名</w:t>
      </w:r>
      <w:r>
        <w:rPr>
          <w:rFonts w:hint="eastAsia" w:ascii="Times New Roman" w:eastAsia="仿宋_GB2312"/>
          <w:u w:val="single"/>
        </w:rPr>
        <w:t xml:space="preserve">    </w:t>
      </w:r>
      <w:r>
        <w:rPr>
          <w:rFonts w:hint="eastAsia" w:ascii="Times New Roman" w:hAnsi="宋体" w:eastAsia="仿宋_GB2312"/>
          <w:szCs w:val="24"/>
        </w:rPr>
        <w:t>为全权代表，参加贵院组织的</w:t>
      </w:r>
      <w:r>
        <w:rPr>
          <w:rFonts w:hint="eastAsia" w:ascii="Times New Roman" w:eastAsia="仿宋_GB2312"/>
          <w:u w:val="single"/>
        </w:rPr>
        <w:t xml:space="preserve">            </w:t>
      </w:r>
      <w:r>
        <w:rPr>
          <w:rFonts w:hint="eastAsia" w:ascii="Times New Roman" w:hAnsi="宋体" w:eastAsia="仿宋_GB2312"/>
          <w:szCs w:val="24"/>
          <w:u w:val="single"/>
        </w:rPr>
        <w:t>项目名称</w:t>
      </w:r>
      <w:r>
        <w:rPr>
          <w:rFonts w:hint="eastAsia" w:ascii="Times New Roman" w:eastAsia="仿宋_GB2312"/>
          <w:u w:val="single"/>
        </w:rPr>
        <w:t xml:space="preserve">            </w:t>
      </w:r>
      <w:r>
        <w:rPr>
          <w:rFonts w:hint="eastAsia" w:ascii="Times New Roman" w:hAnsi="宋体" w:eastAsia="仿宋_GB2312"/>
          <w:szCs w:val="24"/>
        </w:rPr>
        <w:t>采购活动，全权处理采购活动中的一切事宜。</w:t>
      </w:r>
    </w:p>
    <w:p>
      <w:pPr>
        <w:widowControl/>
        <w:ind w:right="632" w:rightChars="200" w:firstLine="632" w:firstLineChars="200"/>
        <w:jc w:val="left"/>
        <w:rPr>
          <w:rFonts w:ascii="Times New Roman" w:hAnsi="宋体" w:eastAsia="仿宋_GB2312"/>
          <w:szCs w:val="24"/>
        </w:rPr>
      </w:pPr>
      <w:r>
        <w:rPr>
          <w:rFonts w:hint="eastAsia" w:ascii="Times New Roman" w:hAnsi="宋体" w:eastAsia="仿宋_GB2312"/>
          <w:szCs w:val="24"/>
        </w:rPr>
        <w:t>授权期限为自    年  月  日至    年  月  日</w:t>
      </w:r>
    </w:p>
    <w:p>
      <w:pPr>
        <w:widowControl/>
        <w:tabs>
          <w:tab w:val="left" w:pos="420"/>
        </w:tabs>
        <w:ind w:firstLine="632" w:firstLineChars="200"/>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（投标人名称）（加盖公章）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（法定代表人签字或盖章）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（委托代表人签字）</w:t>
      </w:r>
      <w:r>
        <w:rPr>
          <w:rFonts w:ascii="Times New Roman" w:hAnsi="宋体" w:eastAsia="仿宋_GB2312"/>
          <w:szCs w:val="24"/>
        </w:rPr>
        <w:cr/>
      </w:r>
    </w:p>
    <w:p>
      <w:pPr>
        <w:widowControl/>
        <w:ind w:right="632" w:rightChars="200" w:firstLine="632" w:firstLineChars="200"/>
        <w:jc w:val="right"/>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（日期）</w:t>
      </w:r>
      <w:r>
        <w:rPr>
          <w:rFonts w:ascii="Times New Roman" w:hAnsi="宋体" w:eastAsia="仿宋_GB2312"/>
          <w:szCs w:val="24"/>
        </w:rPr>
        <w:cr/>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jc w:val="center"/>
        </w:trPr>
        <w:tc>
          <w:tcPr>
            <w:tcW w:w="5000" w:type="pct"/>
            <w:vAlign w:val="center"/>
          </w:tcPr>
          <w:p>
            <w:pPr>
              <w:spacing w:line="360" w:lineRule="auto"/>
              <w:jc w:val="center"/>
              <w:rPr>
                <w:rFonts w:ascii="宋体" w:hAnsi="宋体"/>
                <w:szCs w:val="32"/>
              </w:rPr>
            </w:pPr>
            <w:r>
              <w:rPr>
                <w:rFonts w:hint="eastAsia" w:ascii="宋体" w:hAnsi="宋体"/>
                <w:b/>
                <w:sz w:val="28"/>
                <w:szCs w:val="28"/>
              </w:rPr>
              <w:t>（附委托代表人身份证正反面）</w:t>
            </w:r>
          </w:p>
        </w:tc>
      </w:tr>
    </w:tbl>
    <w:p>
      <w:pPr>
        <w:pStyle w:val="15"/>
        <w:widowControl/>
        <w:autoSpaceDE/>
        <w:autoSpaceDN/>
        <w:ind w:firstLine="632" w:firstLineChars="200"/>
        <w:jc w:val="both"/>
        <w:rPr>
          <w:rFonts w:hint="default" w:ascii="Times New Roman" w:eastAsia="仿宋_GB2312"/>
          <w:sz w:val="32"/>
        </w:rPr>
      </w:pPr>
    </w:p>
    <w:p>
      <w:pPr>
        <w:widowControl/>
        <w:jc w:val="center"/>
        <w:outlineLvl w:val="0"/>
        <w:rPr>
          <w:rFonts w:hint="eastAsia" w:ascii="方正小标宋_GBK" w:hAnsi="方正小标宋_GBK" w:eastAsia="方正小标宋_GBK" w:cs="方正小标宋_GBK"/>
          <w:sz w:val="44"/>
        </w:rPr>
      </w:pPr>
      <w:bookmarkStart w:id="33" w:name="_Toc27664"/>
      <w:bookmarkStart w:id="34" w:name="_Toc15196"/>
      <w:r>
        <w:rPr>
          <w:rFonts w:hint="eastAsia" w:ascii="方正小标宋_GBK" w:hAnsi="方正小标宋_GBK" w:eastAsia="方正小标宋_GBK" w:cs="方正小标宋_GBK"/>
          <w:sz w:val="44"/>
          <w:lang w:val="en-US" w:eastAsia="zh-CN"/>
        </w:rPr>
        <w:t>反商业贿赂</w:t>
      </w:r>
      <w:r>
        <w:rPr>
          <w:rFonts w:hint="eastAsia" w:ascii="方正小标宋_GBK" w:hAnsi="方正小标宋_GBK" w:eastAsia="方正小标宋_GBK" w:cs="方正小标宋_GBK"/>
          <w:sz w:val="44"/>
        </w:rPr>
        <w:t>承诺书</w:t>
      </w:r>
      <w:bookmarkEnd w:id="33"/>
      <w:bookmarkEnd w:id="34"/>
    </w:p>
    <w:p>
      <w:pPr>
        <w:widowControl/>
        <w:rPr>
          <w:rFonts w:ascii="Times New Roman" w:eastAsia="仿宋_GB2312"/>
        </w:rPr>
      </w:pPr>
      <w:r>
        <w:rPr>
          <w:rFonts w:hint="eastAsia" w:ascii="Times New Roman" w:eastAsia="仿宋_GB2312"/>
        </w:rPr>
        <w:t>中牟县中医院：</w:t>
      </w:r>
    </w:p>
    <w:p>
      <w:pPr>
        <w:widowControl/>
        <w:rPr>
          <w:rFonts w:ascii="Times New Roman" w:eastAsia="仿宋_GB2312"/>
        </w:rPr>
      </w:pPr>
      <w:r>
        <w:rPr>
          <w:rFonts w:ascii="Times New Roman" w:eastAsia="仿宋_GB2312"/>
        </w:rPr>
        <w:t xml:space="preserve">    </w:t>
      </w:r>
      <w:r>
        <w:rPr>
          <w:rFonts w:hint="eastAsia" w:ascii="Times New Roman" w:eastAsia="仿宋_GB2312"/>
        </w:rPr>
        <w:t>为了积极配合贵院进行的</w:t>
      </w:r>
      <w:r>
        <w:rPr>
          <w:rFonts w:ascii="Times New Roman" w:eastAsia="仿宋_GB2312"/>
        </w:rPr>
        <w:t xml:space="preserve"> （</w:t>
      </w:r>
      <w:r>
        <w:rPr>
          <w:rFonts w:ascii="Times New Roman" w:eastAsia="仿宋_GB2312"/>
          <w:u w:val="single"/>
        </w:rPr>
        <w:t xml:space="preserve">                          </w:t>
      </w:r>
      <w:r>
        <w:rPr>
          <w:rFonts w:ascii="Times New Roman" w:eastAsia="仿宋_GB2312"/>
        </w:rPr>
        <w:t>招标项目）招标工作，有效遏制不公平竞争和违规违纪问题的发生，确保招标工作的公平、公正、公开，我们保证认真贯彻《招投标法》等相关规定以及有关廉洁要求，特向贵院郑重承诺：</w:t>
      </w:r>
    </w:p>
    <w:p>
      <w:pPr>
        <w:widowControl/>
        <w:ind w:firstLine="632" w:firstLineChars="200"/>
        <w:rPr>
          <w:rFonts w:ascii="Times New Roman" w:eastAsia="仿宋_GB2312"/>
        </w:rPr>
      </w:pPr>
      <w:r>
        <w:rPr>
          <w:rFonts w:hint="eastAsia" w:ascii="Times New Roman" w:eastAsia="仿宋_GB2312"/>
        </w:rPr>
        <w:t>一、自觉遵守国家有关法律法规及廉洁规定。</w:t>
      </w:r>
    </w:p>
    <w:p>
      <w:pPr>
        <w:widowControl/>
        <w:ind w:firstLine="632" w:firstLineChars="200"/>
        <w:rPr>
          <w:rFonts w:ascii="Times New Roman" w:eastAsia="仿宋_GB2312"/>
        </w:rPr>
      </w:pPr>
      <w:r>
        <w:rPr>
          <w:rFonts w:hint="eastAsia" w:ascii="Times New Roman" w:eastAsia="仿宋_GB2312"/>
        </w:rPr>
        <w:t>二、我公司任何工作人员绝不以任何理由主动向贵院任何领导和职工行贿。</w:t>
      </w:r>
    </w:p>
    <w:p>
      <w:pPr>
        <w:widowControl/>
        <w:ind w:firstLine="632" w:firstLineChars="200"/>
        <w:rPr>
          <w:rFonts w:ascii="Times New Roman" w:eastAsia="仿宋_GB2312"/>
        </w:rPr>
      </w:pPr>
      <w:r>
        <w:rPr>
          <w:rFonts w:hint="eastAsia" w:ascii="Times New Roman" w:eastAsia="仿宋_GB2312"/>
        </w:rPr>
        <w:t>三、贵院如有任何人员向我公司工作人员索要钱物，我公司人员会坚决拒绝并立即向贵院纪委书面举报。</w:t>
      </w:r>
    </w:p>
    <w:p>
      <w:pPr>
        <w:widowControl/>
        <w:ind w:firstLine="632" w:firstLineChars="200"/>
        <w:rPr>
          <w:rFonts w:ascii="Times New Roman" w:eastAsia="仿宋_GB2312"/>
        </w:rPr>
      </w:pPr>
      <w:r>
        <w:rPr>
          <w:rFonts w:hint="eastAsia" w:ascii="Times New Roman" w:eastAsia="仿宋_GB2312"/>
        </w:rPr>
        <w:t>四、我公司绝不使用不正当手段妨碍、排挤其它投标公司或串通投标。</w:t>
      </w:r>
    </w:p>
    <w:p>
      <w:pPr>
        <w:widowControl/>
        <w:ind w:firstLine="632" w:firstLineChars="200"/>
        <w:rPr>
          <w:rFonts w:ascii="Times New Roman" w:eastAsia="仿宋_GB2312"/>
        </w:rPr>
      </w:pPr>
      <w:r>
        <w:rPr>
          <w:rFonts w:hint="eastAsia" w:ascii="Times New Roman" w:eastAsia="仿宋_GB2312"/>
        </w:rPr>
        <w:t>如果有违上述承诺，我公司将独自承担所有的法律后果</w:t>
      </w:r>
      <w:r>
        <w:rPr>
          <w:rFonts w:ascii="Times New Roman" w:eastAsia="仿宋_GB2312"/>
        </w:rPr>
        <w:t>(包括但不限于中标资格以及终止合同等)，给贵单位造成损失的，予以赔偿。</w:t>
      </w:r>
    </w:p>
    <w:p>
      <w:pPr>
        <w:widowControl/>
        <w:ind w:firstLine="632" w:firstLineChars="200"/>
        <w:rPr>
          <w:rFonts w:ascii="Times New Roman" w:eastAsia="仿宋_GB2312"/>
        </w:rPr>
      </w:pPr>
      <w:r>
        <w:rPr>
          <w:rFonts w:hint="eastAsia" w:ascii="Times New Roman" w:eastAsia="仿宋_GB2312"/>
        </w:rPr>
        <w:t>投标单位名称（盖章）：</w:t>
      </w:r>
    </w:p>
    <w:p>
      <w:pPr>
        <w:widowControl/>
        <w:ind w:firstLine="632" w:firstLineChars="200"/>
        <w:rPr>
          <w:rFonts w:ascii="Times New Roman" w:eastAsia="仿宋_GB2312"/>
        </w:rPr>
      </w:pPr>
      <w:r>
        <w:rPr>
          <w:rFonts w:hint="eastAsia" w:ascii="Times New Roman" w:eastAsia="仿宋_GB2312"/>
        </w:rPr>
        <w:t>法定代表人（签字）：</w:t>
      </w:r>
    </w:p>
    <w:p>
      <w:pPr>
        <w:widowControl/>
        <w:ind w:firstLine="632" w:firstLineChars="200"/>
        <w:rPr>
          <w:rFonts w:ascii="Times New Roman" w:eastAsia="仿宋_GB2312"/>
        </w:rPr>
      </w:pPr>
    </w:p>
    <w:p>
      <w:pPr>
        <w:widowControl/>
        <w:jc w:val="center"/>
        <w:rPr>
          <w:rFonts w:ascii="Times New Roman" w:eastAsia="仿宋_GB2312"/>
        </w:rPr>
      </w:pPr>
      <w:r>
        <w:rPr>
          <w:rFonts w:ascii="Times New Roman" w:eastAsia="仿宋_GB2312"/>
        </w:rPr>
        <w:t xml:space="preserve">            </w:t>
      </w:r>
      <w:r>
        <w:rPr>
          <w:rFonts w:hint="eastAsia" w:ascii="Times New Roman" w:eastAsia="楷体_GB2312"/>
        </w:rPr>
        <w:t>日</w:t>
      </w:r>
      <w:r>
        <w:rPr>
          <w:rFonts w:ascii="Times New Roman" w:eastAsia="楷体_GB2312"/>
        </w:rPr>
        <w:t xml:space="preserve"> 期</w:t>
      </w:r>
      <w:r>
        <w:rPr>
          <w:rFonts w:hint="eastAsia" w:ascii="Times New Roman" w:eastAsia="楷体_GB2312"/>
        </w:rPr>
        <w:t>：</w:t>
      </w:r>
      <w:r>
        <w:rPr>
          <w:rFonts w:ascii="Times New Roman" w:eastAsia="仿宋_GB2312"/>
          <w:u w:val="single"/>
        </w:rPr>
        <w:t xml:space="preserve">        </w:t>
      </w:r>
      <w:r>
        <w:rPr>
          <w:rFonts w:hint="eastAsia" w:ascii="Times New Roman" w:eastAsia="仿宋_GB2312"/>
        </w:rPr>
        <w:t>年</w:t>
      </w:r>
      <w:r>
        <w:rPr>
          <w:rFonts w:ascii="Times New Roman" w:eastAsia="仿宋_GB2312"/>
          <w:u w:val="single"/>
        </w:rPr>
        <w:t xml:space="preserve">    </w:t>
      </w:r>
      <w:r>
        <w:rPr>
          <w:rFonts w:hint="eastAsia" w:ascii="Times New Roman" w:eastAsia="仿宋_GB2312"/>
        </w:rPr>
        <w:t>月</w:t>
      </w:r>
      <w:r>
        <w:rPr>
          <w:rFonts w:ascii="Times New Roman" w:eastAsia="仿宋_GB2312"/>
          <w:u w:val="single"/>
        </w:rPr>
        <w:t xml:space="preserve">    </w:t>
      </w:r>
      <w:r>
        <w:rPr>
          <w:rFonts w:hint="eastAsia" w:ascii="Times New Roman" w:eastAsia="仿宋_GB2312"/>
        </w:rPr>
        <w:t>日</w:t>
      </w:r>
    </w:p>
    <w:p>
      <w:pPr>
        <w:widowControl/>
        <w:jc w:val="left"/>
        <w:rPr>
          <w:rFonts w:hint="eastAsia" w:ascii="Times New Roman" w:hAnsi="黑体" w:eastAsia="黑体"/>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6" w:h="16838"/>
      <w:pgMar w:top="1984" w:right="1474" w:bottom="1871" w:left="1588" w:header="851" w:footer="1418" w:gutter="0"/>
      <w:pgNumType w:fmt="decimal"/>
      <w:cols w:space="425" w:num="1"/>
      <w:docGrid w:type="linesAndChars" w:linePitch="5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napToGrid/>
      <w:ind w:right="320" w:rightChars="100"/>
      <w:jc w:val="right"/>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napToGrid/>
      <w:ind w:left="320" w:leftChars="100"/>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3D3488"/>
    <w:multiLevelType w:val="singleLevel"/>
    <w:tmpl w:val="8C3D3488"/>
    <w:lvl w:ilvl="0" w:tentative="0">
      <w:start w:val="1"/>
      <w:numFmt w:val="chineseCounting"/>
      <w:suff w:val="nothing"/>
      <w:lvlText w:val="%1、"/>
      <w:lvlJc w:val="left"/>
      <w:rPr>
        <w:rFonts w:hint="eastAsia"/>
      </w:rPr>
    </w:lvl>
  </w:abstractNum>
  <w:abstractNum w:abstractNumId="1">
    <w:nsid w:val="A258A3A6"/>
    <w:multiLevelType w:val="singleLevel"/>
    <w:tmpl w:val="A258A3A6"/>
    <w:lvl w:ilvl="0" w:tentative="0">
      <w:start w:val="1"/>
      <w:numFmt w:val="chineseCounting"/>
      <w:suff w:val="nothing"/>
      <w:lvlText w:val="（%1）"/>
      <w:lvlJc w:val="left"/>
      <w:pPr>
        <w:ind w:left="473" w:leftChars="0" w:firstLine="0" w:firstLineChars="0"/>
      </w:pPr>
      <w:rPr>
        <w:rFonts w:hint="eastAsia"/>
      </w:rPr>
    </w:lvl>
  </w:abstractNum>
  <w:abstractNum w:abstractNumId="2">
    <w:nsid w:val="C0D787AD"/>
    <w:multiLevelType w:val="singleLevel"/>
    <w:tmpl w:val="C0D787AD"/>
    <w:lvl w:ilvl="0" w:tentative="0">
      <w:start w:val="1"/>
      <w:numFmt w:val="chineseCounting"/>
      <w:suff w:val="nothing"/>
      <w:lvlText w:val="（%1）"/>
      <w:lvlJc w:val="left"/>
      <w:pPr>
        <w:ind w:left="631" w:leftChars="0" w:firstLine="0" w:firstLineChars="0"/>
      </w:pPr>
      <w:rPr>
        <w:rFonts w:hint="eastAsia"/>
      </w:rPr>
    </w:lvl>
  </w:abstractNum>
  <w:abstractNum w:abstractNumId="3">
    <w:nsid w:val="E23CE3F0"/>
    <w:multiLevelType w:val="singleLevel"/>
    <w:tmpl w:val="E23CE3F0"/>
    <w:lvl w:ilvl="0" w:tentative="0">
      <w:start w:val="1"/>
      <w:numFmt w:val="chineseCounting"/>
      <w:suff w:val="nothing"/>
      <w:lvlText w:val="%1、"/>
      <w:lvlJc w:val="left"/>
      <w:rPr>
        <w:rFonts w:hint="eastAsia"/>
      </w:rPr>
    </w:lvl>
  </w:abstractNum>
  <w:abstractNum w:abstractNumId="4">
    <w:nsid w:val="4B5D74B6"/>
    <w:multiLevelType w:val="singleLevel"/>
    <w:tmpl w:val="4B5D74B6"/>
    <w:lvl w:ilvl="0" w:tentative="0">
      <w:start w:val="1"/>
      <w:numFmt w:val="chineseCounting"/>
      <w:suff w:val="nothing"/>
      <w:lvlText w:val="%1、"/>
      <w:lvlJc w:val="left"/>
      <w:rPr>
        <w:rFonts w:hint="eastAsia"/>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58"/>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0446719B"/>
    <w:rsid w:val="00967FD8"/>
    <w:rsid w:val="012A7AF5"/>
    <w:rsid w:val="02117D9A"/>
    <w:rsid w:val="02924A37"/>
    <w:rsid w:val="0446719B"/>
    <w:rsid w:val="06952D48"/>
    <w:rsid w:val="084C507B"/>
    <w:rsid w:val="09EA0953"/>
    <w:rsid w:val="0AD876A7"/>
    <w:rsid w:val="0CC8277E"/>
    <w:rsid w:val="0E3F71D9"/>
    <w:rsid w:val="0F486821"/>
    <w:rsid w:val="10380EFA"/>
    <w:rsid w:val="114B431D"/>
    <w:rsid w:val="125C320A"/>
    <w:rsid w:val="12C329EB"/>
    <w:rsid w:val="12F0731A"/>
    <w:rsid w:val="13BC1A9D"/>
    <w:rsid w:val="13F244AC"/>
    <w:rsid w:val="17E54B40"/>
    <w:rsid w:val="18FC0A05"/>
    <w:rsid w:val="1A811560"/>
    <w:rsid w:val="1AFF5573"/>
    <w:rsid w:val="1C093B64"/>
    <w:rsid w:val="1C44694B"/>
    <w:rsid w:val="1F152DBD"/>
    <w:rsid w:val="1F8A4FBC"/>
    <w:rsid w:val="204F3B10"/>
    <w:rsid w:val="20BF5BE7"/>
    <w:rsid w:val="213845A4"/>
    <w:rsid w:val="22FD34A7"/>
    <w:rsid w:val="23114793"/>
    <w:rsid w:val="24EE5B1B"/>
    <w:rsid w:val="25581831"/>
    <w:rsid w:val="255B2DE3"/>
    <w:rsid w:val="2720435B"/>
    <w:rsid w:val="283F5EBD"/>
    <w:rsid w:val="285454F7"/>
    <w:rsid w:val="2BE07D12"/>
    <w:rsid w:val="2C215706"/>
    <w:rsid w:val="2EE124FD"/>
    <w:rsid w:val="2F511653"/>
    <w:rsid w:val="33E6085B"/>
    <w:rsid w:val="3A9E14C4"/>
    <w:rsid w:val="3B1C2158"/>
    <w:rsid w:val="3B8A62BD"/>
    <w:rsid w:val="3C495460"/>
    <w:rsid w:val="3E9E1A93"/>
    <w:rsid w:val="3EE53B65"/>
    <w:rsid w:val="3F4A7370"/>
    <w:rsid w:val="4081341A"/>
    <w:rsid w:val="40925627"/>
    <w:rsid w:val="42740088"/>
    <w:rsid w:val="451A31CD"/>
    <w:rsid w:val="467E645B"/>
    <w:rsid w:val="49B27B44"/>
    <w:rsid w:val="4A560B67"/>
    <w:rsid w:val="4ABD3D64"/>
    <w:rsid w:val="4C88631A"/>
    <w:rsid w:val="4E0D29CC"/>
    <w:rsid w:val="4E443514"/>
    <w:rsid w:val="51AD4B9A"/>
    <w:rsid w:val="51E952C3"/>
    <w:rsid w:val="52C33D66"/>
    <w:rsid w:val="5393682D"/>
    <w:rsid w:val="53951D31"/>
    <w:rsid w:val="53CC5543"/>
    <w:rsid w:val="53FA4A6F"/>
    <w:rsid w:val="56B85264"/>
    <w:rsid w:val="578D007E"/>
    <w:rsid w:val="59AC5554"/>
    <w:rsid w:val="5ADC2653"/>
    <w:rsid w:val="5B25039E"/>
    <w:rsid w:val="5BD369C6"/>
    <w:rsid w:val="5E473A9D"/>
    <w:rsid w:val="5E836B4D"/>
    <w:rsid w:val="5EEC01A1"/>
    <w:rsid w:val="6045020A"/>
    <w:rsid w:val="62BA2508"/>
    <w:rsid w:val="63EC5FEE"/>
    <w:rsid w:val="648E00C1"/>
    <w:rsid w:val="649C269E"/>
    <w:rsid w:val="64C62815"/>
    <w:rsid w:val="66A93F9E"/>
    <w:rsid w:val="684E08B0"/>
    <w:rsid w:val="6AF96297"/>
    <w:rsid w:val="6B5F50BF"/>
    <w:rsid w:val="6BE81C3A"/>
    <w:rsid w:val="6D67600A"/>
    <w:rsid w:val="6F89176E"/>
    <w:rsid w:val="6FFA66F3"/>
    <w:rsid w:val="717C64BF"/>
    <w:rsid w:val="71BE777B"/>
    <w:rsid w:val="72FF5F0D"/>
    <w:rsid w:val="75CE1F56"/>
    <w:rsid w:val="77785510"/>
    <w:rsid w:val="780D6D66"/>
    <w:rsid w:val="782C7B34"/>
    <w:rsid w:val="78A51D33"/>
    <w:rsid w:val="791252B1"/>
    <w:rsid w:val="79623915"/>
    <w:rsid w:val="79751067"/>
    <w:rsid w:val="7ED807D6"/>
    <w:rsid w:val="7FE51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BodyText1I"/>
    <w:basedOn w:val="3"/>
    <w:qFormat/>
    <w:uiPriority w:val="0"/>
    <w:pPr>
      <w:snapToGrid w:val="0"/>
      <w:spacing w:line="360" w:lineRule="auto"/>
      <w:ind w:firstLine="420" w:firstLineChars="100"/>
    </w:pPr>
    <w:rPr>
      <w:rFonts w:ascii="Arial" w:hAnsi="Arial" w:eastAsia="仿宋_GB2312"/>
      <w:sz w:val="31"/>
      <w:szCs w:val="21"/>
    </w:rPr>
  </w:style>
  <w:style w:type="paragraph" w:customStyle="1" w:styleId="3">
    <w:name w:val="BodyText"/>
    <w:basedOn w:val="1"/>
    <w:qFormat/>
    <w:uiPriority w:val="0"/>
    <w:pPr>
      <w:spacing w:after="120"/>
      <w:textAlignment w:val="baseline"/>
    </w:pPr>
  </w:style>
  <w:style w:type="paragraph" w:styleId="5">
    <w:name w:val="Body Text"/>
    <w:basedOn w:val="1"/>
    <w:next w:val="1"/>
    <w:qFormat/>
    <w:uiPriority w:val="1"/>
    <w:rPr>
      <w:sz w:val="24"/>
      <w:szCs w:val="24"/>
    </w:rPr>
  </w:style>
  <w:style w:type="paragraph" w:styleId="6">
    <w:name w:val="Plain Text"/>
    <w:basedOn w:val="1"/>
    <w:qFormat/>
    <w:uiPriority w:val="0"/>
    <w:rPr>
      <w:rFonts w:ascii="宋体" w:hAnsi="Courier New" w:eastAsia="宋体" w:cs="Times New Roman"/>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1"/>
    <w:qFormat/>
    <w:uiPriority w:val="0"/>
    <w:pPr>
      <w:widowControl w:val="0"/>
      <w:suppressAutoHyphens w:val="0"/>
      <w:bidi w:val="0"/>
      <w:jc w:val="both"/>
    </w:pPr>
    <w:rPr>
      <w:rFonts w:asciiTheme="minorHAnsi" w:hAnsiTheme="minorHAnsi" w:eastAsiaTheme="minorEastAsia" w:cstheme="minorBidi"/>
      <w:color w:val="auto"/>
      <w:kern w:val="2"/>
      <w:sz w:val="21"/>
      <w:szCs w:val="24"/>
      <w:lang w:val="en-US" w:eastAsia="zh-CN" w:bidi="ar-SA"/>
    </w:rPr>
  </w:style>
  <w:style w:type="paragraph" w:customStyle="1" w:styleId="15">
    <w:name w:val="Default"/>
    <w:unhideWhenUsed/>
    <w:qFormat/>
    <w:uiPriority w:val="0"/>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character" w:customStyle="1" w:styleId="17">
    <w:name w:val="font51"/>
    <w:basedOn w:val="13"/>
    <w:qFormat/>
    <w:uiPriority w:val="0"/>
    <w:rPr>
      <w:rFonts w:hint="eastAsia" w:ascii="宋体" w:hAnsi="宋体" w:eastAsia="宋体" w:cs="宋体"/>
      <w:i/>
      <w:iCs/>
      <w:color w:val="000000"/>
      <w:sz w:val="20"/>
      <w:szCs w:val="20"/>
      <w:u w:val="none"/>
    </w:rPr>
  </w:style>
  <w:style w:type="character" w:customStyle="1" w:styleId="18">
    <w:name w:val="font21"/>
    <w:basedOn w:val="13"/>
    <w:qFormat/>
    <w:uiPriority w:val="0"/>
    <w:rPr>
      <w:rFonts w:hint="eastAsia" w:ascii="宋体" w:hAnsi="宋体" w:eastAsia="宋体" w:cs="宋体"/>
      <w:b/>
      <w:bCs/>
      <w:color w:val="000000"/>
      <w:sz w:val="24"/>
      <w:szCs w:val="24"/>
      <w:u w:val="none"/>
    </w:rPr>
  </w:style>
  <w:style w:type="character" w:customStyle="1" w:styleId="19">
    <w:name w:val="font61"/>
    <w:basedOn w:val="13"/>
    <w:qFormat/>
    <w:uiPriority w:val="0"/>
    <w:rPr>
      <w:rFonts w:hint="eastAsia" w:ascii="宋体" w:hAnsi="宋体" w:eastAsia="宋体" w:cs="宋体"/>
      <w:b/>
      <w:bCs/>
      <w:color w:val="FF0000"/>
      <w:sz w:val="24"/>
      <w:szCs w:val="24"/>
      <w:u w:val="none"/>
    </w:rPr>
  </w:style>
  <w:style w:type="paragraph" w:customStyle="1" w:styleId="20">
    <w:name w:val="默认段落字体 Para Char"/>
    <w:basedOn w:val="1"/>
    <w:qFormat/>
    <w:uiPriority w:val="0"/>
    <w:pPr>
      <w:tabs>
        <w:tab w:val="left" w:pos="360"/>
      </w:tabs>
      <w:ind w:left="420" w:hanging="420"/>
    </w:pPr>
    <w:rPr>
      <w:rFonts w:ascii="仿宋_GB2312" w:eastAsia="仿宋_GB2312"/>
      <w:sz w:val="24"/>
    </w:rPr>
  </w:style>
  <w:style w:type="paragraph" w:customStyle="1" w:styleId="21">
    <w:name w:val="Table Paragraph"/>
    <w:basedOn w:val="1"/>
    <w:qFormat/>
    <w:uiPriority w:val="1"/>
  </w:style>
  <w:style w:type="table" w:customStyle="1" w:styleId="2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8239</Words>
  <Characters>8666</Characters>
  <Lines>0</Lines>
  <Paragraphs>0</Paragraphs>
  <TotalTime>11</TotalTime>
  <ScaleCrop>false</ScaleCrop>
  <LinksUpToDate>false</LinksUpToDate>
  <CharactersWithSpaces>9239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2026-04-22T05:52:00Z</dcterms:created>
  <dc:creator>LV</dc:creator>
  <cp:lastModifiedBy>admin</cp:lastModifiedBy>
  <cp:lastPrinted>2026-05-25T07:20:00Z</cp:lastPrinted>
  <dcterms:modified xsi:type="dcterms:W3CDTF">2026-10-22T06:15:36Z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F65ED6AC062243498B52561DBFBE28E4</vt:lpwstr>
  </property>
  <property fmtid="{D5CDD505-2E9C-101B-9397-08002B2CF9AE}" pid="4" name="KSOTemplateDocerSaveRecord">
    <vt:lpwstr>eyJoZGlkIjoiYTI2YzRmNjZjMjkxYjc2MTM3MzQ4OGM0MDhmZjk3MzUiLCJ1c2VySWQiOiIxNzMxNTM3NjU4In0=</vt:lpwstr>
  </property>
</Properties>
</file>